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FB89" w14:textId="521D02A0" w:rsidR="008612DA" w:rsidRPr="00DF0996" w:rsidRDefault="00DF0996">
      <w:pPr>
        <w:rPr>
          <w:b/>
          <w:bCs/>
          <w:u w:val="single"/>
        </w:rPr>
      </w:pPr>
      <w:r w:rsidRPr="00DF0996">
        <w:rPr>
          <w:b/>
          <w:bCs/>
          <w:u w:val="single"/>
        </w:rPr>
        <w:t xml:space="preserve">FY23 </w:t>
      </w:r>
      <w:r w:rsidR="008612DA" w:rsidRPr="00DF0996">
        <w:rPr>
          <w:b/>
          <w:bCs/>
          <w:u w:val="single"/>
        </w:rPr>
        <w:t>Substitute Teacher Highlight</w:t>
      </w:r>
      <w:r w:rsidRPr="00DF0996">
        <w:rPr>
          <w:b/>
          <w:bCs/>
          <w:u w:val="single"/>
        </w:rPr>
        <w:t>s</w:t>
      </w:r>
    </w:p>
    <w:p w14:paraId="567877D2" w14:textId="4355B02D" w:rsidR="006D0209" w:rsidRDefault="00940B91">
      <w:r>
        <w:t xml:space="preserve">Since July 1, 2022, BPS </w:t>
      </w:r>
      <w:r w:rsidR="00DF0996">
        <w:t xml:space="preserve">experienced an increase of 136 (33%) additional </w:t>
      </w:r>
      <w:r w:rsidR="00E95987">
        <w:t>Substitutes onboarded over</w:t>
      </w:r>
      <w:r w:rsidR="00DF0996">
        <w:t xml:space="preserve"> </w:t>
      </w:r>
      <w:r w:rsidR="00804D13">
        <w:t>S</w:t>
      </w:r>
      <w:r w:rsidR="00DF0996">
        <w:t xml:space="preserve">Y22.  </w:t>
      </w:r>
      <w:r w:rsidR="006D0209">
        <w:t xml:space="preserve">  407 substitutes </w:t>
      </w:r>
      <w:r w:rsidR="00E92E9D">
        <w:t>total were</w:t>
      </w:r>
      <w:r w:rsidR="006D0209">
        <w:t xml:space="preserve"> </w:t>
      </w:r>
      <w:r w:rsidR="00E92E9D">
        <w:t>onboarded</w:t>
      </w:r>
      <w:r w:rsidR="006D0209">
        <w:t xml:space="preserve"> in SY22.</w:t>
      </w:r>
      <w:r>
        <w:t xml:space="preserve"> </w:t>
      </w:r>
      <w:r w:rsidR="00DF0996">
        <w:t xml:space="preserve">543 were onboarded in </w:t>
      </w:r>
      <w:r w:rsidR="00804D13">
        <w:t>S</w:t>
      </w:r>
      <w:r w:rsidR="00DF0996">
        <w:t>Y23.</w:t>
      </w:r>
      <w:r>
        <w:t xml:space="preserve"> We currently have 1,384 active subs on record.   </w:t>
      </w:r>
    </w:p>
    <w:p w14:paraId="2020EEEE" w14:textId="089E6278" w:rsidR="003768C9" w:rsidRDefault="00804D13">
      <w:r>
        <w:t xml:space="preserve">Representatives from the </w:t>
      </w:r>
      <w:r w:rsidR="00940B91">
        <w:t>Substitute Office ha</w:t>
      </w:r>
      <w:r>
        <w:t>ve</w:t>
      </w:r>
      <w:r w:rsidR="00940B91">
        <w:t xml:space="preserve"> attended 15 recruiting events</w:t>
      </w:r>
      <w:r w:rsidR="006D0209">
        <w:t xml:space="preserve"> (job fairs, open houses)</w:t>
      </w:r>
      <w:r w:rsidR="00940B91">
        <w:t xml:space="preserve"> since June 2022. </w:t>
      </w:r>
    </w:p>
    <w:p w14:paraId="3A2EA0DB" w14:textId="29DDB3B9" w:rsidR="00804D13" w:rsidRDefault="00804D13"/>
    <w:p w14:paraId="39448298" w14:textId="7D0EB468" w:rsidR="00804D13" w:rsidRDefault="00804D13" w:rsidP="00804D13">
      <w:pPr>
        <w:spacing w:line="240" w:lineRule="auto"/>
      </w:pPr>
      <w:r>
        <w:t>7/11</w:t>
      </w:r>
      <w:r>
        <w:tab/>
      </w:r>
      <w:r>
        <w:tab/>
        <w:t>Cocoa High School</w:t>
      </w:r>
    </w:p>
    <w:p w14:paraId="382BE767" w14:textId="299A43CC" w:rsidR="00804D13" w:rsidRDefault="00804D13" w:rsidP="00804D13">
      <w:pPr>
        <w:spacing w:line="240" w:lineRule="auto"/>
      </w:pPr>
      <w:r>
        <w:t>7/24</w:t>
      </w:r>
      <w:r>
        <w:tab/>
      </w:r>
      <w:r>
        <w:tab/>
        <w:t>Community Church</w:t>
      </w:r>
    </w:p>
    <w:p w14:paraId="1E27A13C" w14:textId="517ABCE5" w:rsidR="00804D13" w:rsidRDefault="00804D13" w:rsidP="00804D13">
      <w:pPr>
        <w:spacing w:line="240" w:lineRule="auto"/>
      </w:pPr>
      <w:r>
        <w:t>7/25</w:t>
      </w:r>
      <w:r>
        <w:tab/>
      </w:r>
      <w:r>
        <w:tab/>
        <w:t>Eau Gallie High School</w:t>
      </w:r>
    </w:p>
    <w:p w14:paraId="6CAD6E56" w14:textId="790EBC7D" w:rsidR="00804D13" w:rsidRDefault="00804D13" w:rsidP="00804D13">
      <w:pPr>
        <w:spacing w:line="240" w:lineRule="auto"/>
      </w:pPr>
      <w:r>
        <w:t>7/26</w:t>
      </w:r>
      <w:r>
        <w:tab/>
      </w:r>
      <w:r>
        <w:tab/>
        <w:t>Satellite High School and Titusville High</w:t>
      </w:r>
    </w:p>
    <w:p w14:paraId="45620D9B" w14:textId="62CD03E0" w:rsidR="00804D13" w:rsidRDefault="00804D13" w:rsidP="00804D13">
      <w:pPr>
        <w:spacing w:line="240" w:lineRule="auto"/>
      </w:pPr>
      <w:r>
        <w:t>7/27</w:t>
      </w:r>
      <w:r>
        <w:tab/>
      </w:r>
      <w:r>
        <w:tab/>
        <w:t>ESF</w:t>
      </w:r>
    </w:p>
    <w:p w14:paraId="45AF811F" w14:textId="6DF0B515" w:rsidR="00804D13" w:rsidRDefault="00804D13" w:rsidP="00804D13">
      <w:pPr>
        <w:spacing w:line="240" w:lineRule="auto"/>
      </w:pPr>
      <w:r>
        <w:t>7/28</w:t>
      </w:r>
      <w:r>
        <w:tab/>
      </w:r>
      <w:r>
        <w:tab/>
        <w:t>Clearlake Adult Ed and Bayside High School</w:t>
      </w:r>
    </w:p>
    <w:p w14:paraId="51386911" w14:textId="26806CDE" w:rsidR="00804D13" w:rsidRDefault="00804D13" w:rsidP="00804D13">
      <w:pPr>
        <w:spacing w:line="240" w:lineRule="auto"/>
      </w:pPr>
      <w:r>
        <w:t>7/31</w:t>
      </w:r>
      <w:r>
        <w:tab/>
      </w:r>
      <w:r>
        <w:tab/>
        <w:t>Community Church</w:t>
      </w:r>
    </w:p>
    <w:p w14:paraId="27DD4B47" w14:textId="25CA837B" w:rsidR="00804D13" w:rsidRDefault="00804D13" w:rsidP="00804D13">
      <w:pPr>
        <w:spacing w:line="240" w:lineRule="auto"/>
      </w:pPr>
      <w:r>
        <w:t>9/19</w:t>
      </w:r>
      <w:r>
        <w:tab/>
      </w:r>
      <w:r>
        <w:tab/>
        <w:t>Hispanic Cultural Event – Palm Bay</w:t>
      </w:r>
    </w:p>
    <w:p w14:paraId="3029DFA5" w14:textId="76A8D6E2" w:rsidR="00804D13" w:rsidRDefault="00804D13" w:rsidP="00804D13">
      <w:pPr>
        <w:spacing w:line="240" w:lineRule="auto"/>
      </w:pPr>
      <w:r>
        <w:t>9/22</w:t>
      </w:r>
      <w:r>
        <w:tab/>
      </w:r>
      <w:r>
        <w:tab/>
        <w:t>Career Source – Palm Bay</w:t>
      </w:r>
    </w:p>
    <w:p w14:paraId="4648A5BF" w14:textId="3B39EF63" w:rsidR="00804D13" w:rsidRDefault="00804D13" w:rsidP="00804D13">
      <w:pPr>
        <w:spacing w:line="240" w:lineRule="auto"/>
      </w:pPr>
      <w:r>
        <w:t>10/7</w:t>
      </w:r>
      <w:r>
        <w:tab/>
      </w:r>
      <w:r>
        <w:tab/>
        <w:t>Saturn Elementary</w:t>
      </w:r>
    </w:p>
    <w:p w14:paraId="38A18E45" w14:textId="47E942A6" w:rsidR="00804D13" w:rsidRDefault="00804D13" w:rsidP="00804D13">
      <w:pPr>
        <w:spacing w:line="240" w:lineRule="auto"/>
      </w:pPr>
      <w:r>
        <w:t>10/10</w:t>
      </w:r>
      <w:r>
        <w:tab/>
      </w:r>
      <w:r>
        <w:tab/>
        <w:t>Imperial Estates</w:t>
      </w:r>
    </w:p>
    <w:p w14:paraId="5AAEBDBC" w14:textId="2DE39C7E" w:rsidR="00804D13" w:rsidRDefault="00804D13" w:rsidP="00804D13">
      <w:pPr>
        <w:spacing w:line="240" w:lineRule="auto"/>
      </w:pPr>
      <w:r>
        <w:t>10/20</w:t>
      </w:r>
      <w:r>
        <w:tab/>
      </w:r>
      <w:r>
        <w:tab/>
        <w:t>Clearlake Adult Ed</w:t>
      </w:r>
    </w:p>
    <w:p w14:paraId="0FF74DB1" w14:textId="589E46CB" w:rsidR="00804D13" w:rsidRDefault="00804D13" w:rsidP="00804D13">
      <w:pPr>
        <w:spacing w:line="240" w:lineRule="auto"/>
      </w:pPr>
      <w:r>
        <w:t>11/30</w:t>
      </w:r>
      <w:r>
        <w:tab/>
      </w:r>
      <w:r>
        <w:tab/>
        <w:t>Career Source Brevard Veterans – Viera Community Center</w:t>
      </w:r>
    </w:p>
    <w:p w14:paraId="4B0EBEE6" w14:textId="1E8BF770" w:rsidR="00804D13" w:rsidRDefault="00804D13" w:rsidP="00804D13">
      <w:pPr>
        <w:spacing w:line="240" w:lineRule="auto"/>
      </w:pPr>
      <w:r>
        <w:t>12/1</w:t>
      </w:r>
      <w:r>
        <w:tab/>
      </w:r>
      <w:r>
        <w:tab/>
        <w:t>Career Source 50+ Back to Work – Rockledge</w:t>
      </w:r>
    </w:p>
    <w:p w14:paraId="2ED63630" w14:textId="44259DDB" w:rsidR="00804D13" w:rsidRDefault="00804D13" w:rsidP="00804D13">
      <w:pPr>
        <w:spacing w:line="240" w:lineRule="auto"/>
      </w:pPr>
      <w:r>
        <w:t>2/14</w:t>
      </w:r>
      <w:r>
        <w:tab/>
      </w:r>
      <w:r>
        <w:tab/>
        <w:t>ESF</w:t>
      </w:r>
    </w:p>
    <w:p w14:paraId="492413D9" w14:textId="77777777" w:rsidR="00804D13" w:rsidRDefault="00804D13"/>
    <w:p w14:paraId="32AF7523" w14:textId="6BF80330" w:rsidR="00940B91" w:rsidRDefault="00E95987">
      <w:r>
        <w:t xml:space="preserve">A Survey sent to Active Substitutes in October of 2022 highlighted some reasons for our successful recruitment of additional Substitutes. We received 424 responses.  Of these responses </w:t>
      </w:r>
      <w:r w:rsidR="00804D13">
        <w:t>380 indicated</w:t>
      </w:r>
      <w:r>
        <w:t xml:space="preserve"> </w:t>
      </w:r>
      <w:r w:rsidR="00D30466">
        <w:t xml:space="preserve">the </w:t>
      </w:r>
      <w:r w:rsidR="00940B91">
        <w:t xml:space="preserve">increase in hourly wage by $5.00/hour for each substitute pay category </w:t>
      </w:r>
      <w:r w:rsidR="00D30466">
        <w:t xml:space="preserve">is a main contributor </w:t>
      </w:r>
      <w:r w:rsidR="00804D13">
        <w:t>for recruitment and retention</w:t>
      </w:r>
      <w:r w:rsidR="006D0209">
        <w:t xml:space="preserve">.  In addition, the waiver of all onboarding fees has helped us attract more substitutes.    </w:t>
      </w:r>
    </w:p>
    <w:p w14:paraId="195CDAA1" w14:textId="4A8C6363" w:rsidR="006D0209" w:rsidRDefault="006D0209">
      <w:r>
        <w:t xml:space="preserve">BPS switched system platforms in June 2022 from SmartFind to Red Rover. </w:t>
      </w:r>
      <w:r w:rsidR="00E95987">
        <w:t xml:space="preserve">   Our Substitute Survey received 238 responses of positive feedback for this change in platform.  </w:t>
      </w:r>
      <w:r>
        <w:t xml:space="preserve"> The ease of use and technological advancements of Red Rover make it easier for substitutes to locate and sign up for jobs.   </w:t>
      </w:r>
    </w:p>
    <w:p w14:paraId="114B170D" w14:textId="77777777" w:rsidR="00940B91" w:rsidRDefault="00940B91"/>
    <w:p w14:paraId="292DB9C2" w14:textId="77777777" w:rsidR="00804D13" w:rsidRDefault="00804D13">
      <w:pPr>
        <w:rPr>
          <w:b/>
          <w:bCs/>
          <w:u w:val="single"/>
        </w:rPr>
      </w:pPr>
    </w:p>
    <w:p w14:paraId="086EF276" w14:textId="7225A4BC" w:rsidR="00940B91" w:rsidRPr="00E95987" w:rsidRDefault="00940B91">
      <w:pPr>
        <w:rPr>
          <w:b/>
          <w:bCs/>
          <w:u w:val="single"/>
        </w:rPr>
      </w:pPr>
      <w:r w:rsidRPr="00E95987">
        <w:rPr>
          <w:b/>
          <w:bCs/>
          <w:u w:val="single"/>
        </w:rPr>
        <w:lastRenderedPageBreak/>
        <w:t>Fill Rates:</w:t>
      </w:r>
    </w:p>
    <w:p w14:paraId="44CEC26E" w14:textId="77777777" w:rsidR="006D0209" w:rsidRDefault="00940B91">
      <w:r>
        <w:t xml:space="preserve">The current average fill rate for SY23 is 77.56%.  This is an 11.28% increase from SY22 (66.28%).  </w:t>
      </w:r>
    </w:p>
    <w:p w14:paraId="63853F4B" w14:textId="4A9A1ED9" w:rsidR="00940B91" w:rsidRDefault="00940B91">
      <w:r>
        <w:t>As of 2/28/22 (SY22), 18,687 jobs ha</w:t>
      </w:r>
      <w:r w:rsidR="00804D13">
        <w:t>d</w:t>
      </w:r>
      <w:r>
        <w:t xml:space="preserve"> been filled by substitutes.  As of 2/24/23 (SY23), 31,745 jobs have been filled by substitutes.   This is an increase of 13,058 jobs filled.  More jobs have been filled by substitutes this year by 2/</w:t>
      </w:r>
      <w:r w:rsidR="00E95987">
        <w:t>24</w:t>
      </w:r>
      <w:r>
        <w:t xml:space="preserve">/23 than were filled in total </w:t>
      </w:r>
      <w:r w:rsidR="00804D13">
        <w:t>S</w:t>
      </w:r>
      <w:r w:rsidR="00E95987">
        <w:t>Y22</w:t>
      </w:r>
      <w:r>
        <w:t xml:space="preserve">. </w:t>
      </w:r>
    </w:p>
    <w:p w14:paraId="793230D6" w14:textId="159E510A" w:rsidR="00804D13" w:rsidRDefault="00804D13"/>
    <w:p w14:paraId="759796D1" w14:textId="5ECC106B" w:rsidR="00804D13" w:rsidRDefault="00666EC0">
      <w:r>
        <w:t>Recruitment, communication</w:t>
      </w:r>
      <w:r w:rsidR="00677859">
        <w:t xml:space="preserve"> of the pay increase and ease of locating jobs have been the keys to Success of Substitute recruitment and retention this School Year.</w:t>
      </w:r>
    </w:p>
    <w:p w14:paraId="32AE5E7D" w14:textId="77777777" w:rsidR="00804D13" w:rsidRDefault="00804D13"/>
    <w:p w14:paraId="6AC08031" w14:textId="27927FD2" w:rsidR="00940B91" w:rsidRDefault="008612DA">
      <w:r>
        <w:rPr>
          <w:noProof/>
        </w:rPr>
        <w:drawing>
          <wp:inline distT="0" distB="0" distL="0" distR="0" wp14:anchorId="129E96B6" wp14:editId="41DACE73">
            <wp:extent cx="4386265" cy="4000499"/>
            <wp:effectExtent l="0" t="0" r="14605" b="6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93A7C05-D2DC-B836-07A9-E361089B57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A3E6026" w14:textId="77941057" w:rsidR="008612DA" w:rsidRDefault="008612DA">
      <w:r>
        <w:rPr>
          <w:noProof/>
        </w:rPr>
        <w:lastRenderedPageBreak/>
        <w:drawing>
          <wp:inline distT="0" distB="0" distL="0" distR="0" wp14:anchorId="4F2A9EDB" wp14:editId="022EDF1C">
            <wp:extent cx="4429125" cy="3971924"/>
            <wp:effectExtent l="0" t="0" r="9525" b="1016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F613788C-C6A9-2A7A-AF52-9B09907234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643D5C4" w14:textId="7D9D0AD3" w:rsidR="008612DA" w:rsidRDefault="008612DA"/>
    <w:tbl>
      <w:tblPr>
        <w:tblW w:w="11861" w:type="dxa"/>
        <w:tblInd w:w="-1255" w:type="dxa"/>
        <w:tblLook w:val="04A0" w:firstRow="1" w:lastRow="0" w:firstColumn="1" w:lastColumn="0" w:noHBand="0" w:noVBand="1"/>
      </w:tblPr>
      <w:tblGrid>
        <w:gridCol w:w="1480"/>
        <w:gridCol w:w="796"/>
        <w:gridCol w:w="1131"/>
        <w:gridCol w:w="891"/>
        <w:gridCol w:w="1093"/>
        <w:gridCol w:w="1069"/>
        <w:gridCol w:w="861"/>
        <w:gridCol w:w="959"/>
        <w:gridCol w:w="752"/>
        <w:gridCol w:w="675"/>
        <w:gridCol w:w="674"/>
        <w:gridCol w:w="1480"/>
      </w:tblGrid>
      <w:tr w:rsidR="00312191" w:rsidRPr="00312191" w14:paraId="32D0A6F4" w14:textId="77777777" w:rsidTr="00312191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DE14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FILL RATE %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70F2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B8ED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1ABC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98CD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013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F8E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EE94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955C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ABFB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B9EA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D180E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AVERAGE %</w:t>
            </w:r>
          </w:p>
        </w:tc>
      </w:tr>
      <w:tr w:rsidR="00312191" w:rsidRPr="00312191" w14:paraId="2E36EE9D" w14:textId="77777777" w:rsidTr="0031219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BEA1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CDC1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58.63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1F7C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61.69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9EA1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64.27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6461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68.08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8134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75.5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88ED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56.43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BF32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67.46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A580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73.62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EC27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67.42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670A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69.7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4C06D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66.28</w:t>
            </w:r>
          </w:p>
        </w:tc>
      </w:tr>
      <w:tr w:rsidR="00312191" w:rsidRPr="00312191" w14:paraId="25202463" w14:textId="77777777" w:rsidTr="0031219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EC9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AF04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78.18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F68F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77.19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9813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76.76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FFB9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77.99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287C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77.53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371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78.33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FA17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76.96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523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FCB6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800C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13377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77.56</w:t>
            </w:r>
          </w:p>
        </w:tc>
      </w:tr>
      <w:tr w:rsidR="00312191" w:rsidRPr="00312191" w14:paraId="19BCC50D" w14:textId="77777777" w:rsidTr="00312191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C0BB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ACCF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6A1A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264F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8DBF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B8D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C11C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FD66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3508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3ADC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0AA5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95E8C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2191" w:rsidRPr="00312191" w14:paraId="1AB39DD2" w14:textId="77777777" w:rsidTr="00312191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534B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FILLED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6F12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D723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2C23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0D10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EA31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294D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3E19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17BA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21D2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5AAB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B22D1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FILLED</w:t>
            </w:r>
          </w:p>
        </w:tc>
      </w:tr>
      <w:tr w:rsidR="00312191" w:rsidRPr="00312191" w14:paraId="13F65B97" w14:textId="77777777" w:rsidTr="0031219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385C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0EAB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880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89AB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3,406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2CE6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3,043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7435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2,491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EA73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2,943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0568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3,181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597E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2,743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3A7F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2,202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0091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3,205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79D6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3,434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20BAA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27,528</w:t>
            </w:r>
          </w:p>
        </w:tc>
      </w:tr>
      <w:tr w:rsidR="00312191" w:rsidRPr="00312191" w14:paraId="3BF92326" w14:textId="77777777" w:rsidTr="0031219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79BB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FEE2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3,378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F8FE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4,551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20C3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5,527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8F51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3,972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CBED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4,319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111A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5,341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C94B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4,657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1A97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CC3F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9255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5B40D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31,745</w:t>
            </w:r>
          </w:p>
        </w:tc>
      </w:tr>
      <w:tr w:rsidR="00312191" w:rsidRPr="00312191" w14:paraId="28DC3A6F" w14:textId="77777777" w:rsidTr="00312191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4D22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F382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9A1F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4D37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210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6AA8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AFFD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212D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91E3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A9CC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EC86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59C5C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2191" w:rsidRPr="00312191" w14:paraId="1275BD6B" w14:textId="77777777" w:rsidTr="00312191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72F7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UNFILLED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41E0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078B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18D1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October 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E20B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8ADA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9248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99C4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C43A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BE9D" w14:textId="0A56D56E" w:rsidR="00312191" w:rsidRPr="00312191" w:rsidRDefault="00E92E9D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42D5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2CF41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UNFILLED</w:t>
            </w:r>
          </w:p>
        </w:tc>
      </w:tr>
      <w:tr w:rsidR="00312191" w:rsidRPr="00312191" w14:paraId="0079BD53" w14:textId="77777777" w:rsidTr="0031219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6C51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2CFA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516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C96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2,115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E131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1,692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18AD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1,168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72B3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955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0C4E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2,456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C68E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1,323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1499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789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CD0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1,549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791F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1,493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E97FF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14,056</w:t>
            </w:r>
          </w:p>
        </w:tc>
      </w:tr>
      <w:tr w:rsidR="00312191" w:rsidRPr="00312191" w14:paraId="2D927704" w14:textId="77777777" w:rsidTr="00312191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C8A8" w14:textId="77777777" w:rsidR="00312191" w:rsidRPr="00312191" w:rsidRDefault="00312191" w:rsidP="0031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B503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943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338A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1,345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49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1,673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B7CE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1,121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00CD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1,252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7D56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1,478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FCF1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</w:rPr>
              <w:t>1,394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AC4D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DE77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4290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16529" w14:textId="77777777" w:rsidR="00312191" w:rsidRPr="00312191" w:rsidRDefault="00312191" w:rsidP="0031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219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9,206</w:t>
            </w:r>
          </w:p>
        </w:tc>
      </w:tr>
    </w:tbl>
    <w:p w14:paraId="0CB5365E" w14:textId="77777777" w:rsidR="00312191" w:rsidRDefault="00312191"/>
    <w:p w14:paraId="2281ED2E" w14:textId="77777777" w:rsidR="008612DA" w:rsidRDefault="008612DA"/>
    <w:sectPr w:rsidR="0086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91"/>
    <w:rsid w:val="00221224"/>
    <w:rsid w:val="00312191"/>
    <w:rsid w:val="003768C9"/>
    <w:rsid w:val="00666EC0"/>
    <w:rsid w:val="00677859"/>
    <w:rsid w:val="006D0209"/>
    <w:rsid w:val="00804D13"/>
    <w:rsid w:val="008612DA"/>
    <w:rsid w:val="00940B91"/>
    <w:rsid w:val="00AB2776"/>
    <w:rsid w:val="00D30466"/>
    <w:rsid w:val="00DF0996"/>
    <w:rsid w:val="00E92E9D"/>
    <w:rsid w:val="00E95987"/>
    <w:rsid w:val="00E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8078"/>
  <w15:chartTrackingRefBased/>
  <w15:docId w15:val="{0C873A85-8E90-4066-B81F-957AAB6B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9400x-hrfile\HR\CS-CH\Katey\Subs\Sub%20Fill%20Rates%202%20Year%20Comparison%202.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9400x-hrfile\HR\CS-CH\Katey\Subs\Sub%20Fill%20Rates%202%20Year%20Comparison%202.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accent1"/>
                  </a:solidFill>
                </a:ln>
                <a:solidFill>
                  <a:schemeClr val="accent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n>
                  <a:solidFill>
                    <a:schemeClr val="accent1"/>
                  </a:solidFill>
                </a:ln>
                <a:solidFill>
                  <a:schemeClr val="accent1"/>
                </a:solidFill>
              </a:rPr>
              <a:t># OF SUBSTITUTE</a:t>
            </a:r>
            <a:r>
              <a:rPr lang="en-US" baseline="0">
                <a:ln>
                  <a:solidFill>
                    <a:schemeClr val="accent1"/>
                  </a:solidFill>
                </a:ln>
                <a:solidFill>
                  <a:schemeClr val="accent1"/>
                </a:solidFill>
              </a:rPr>
              <a:t> JOBS FILLED</a:t>
            </a:r>
            <a:r>
              <a:rPr lang="en-US">
                <a:ln>
                  <a:solidFill>
                    <a:schemeClr val="accent1"/>
                  </a:solidFill>
                </a:ln>
                <a:solidFill>
                  <a:schemeClr val="accent1"/>
                </a:solidFill>
              </a:rPr>
              <a:t> PER MONTH</a:t>
            </a:r>
          </a:p>
        </c:rich>
      </c:tx>
      <c:layout>
        <c:manualLayout>
          <c:xMode val="edge"/>
          <c:yMode val="edge"/>
          <c:x val="0.14922924173528046"/>
          <c:y val="2.222222777708481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solidFill>
                  <a:schemeClr val="accent1"/>
                </a:solidFill>
              </a:ln>
              <a:solidFill>
                <a:schemeClr val="accen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Sheet1!$B$29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Sheet1!$C$28:$L$28</c:f>
              <c:strCache>
                <c:ptCount val="10"/>
                <c:pt idx="0">
                  <c:v>August</c:v>
                </c:pt>
                <c:pt idx="1">
                  <c:v>September</c:v>
                </c:pt>
                <c:pt idx="2">
                  <c:v>October</c:v>
                </c:pt>
                <c:pt idx="3">
                  <c:v>November</c:v>
                </c:pt>
                <c:pt idx="4">
                  <c:v>December</c:v>
                </c:pt>
                <c:pt idx="5">
                  <c:v>January</c:v>
                </c:pt>
                <c:pt idx="6">
                  <c:v>February</c:v>
                </c:pt>
                <c:pt idx="7">
                  <c:v>March</c:v>
                </c:pt>
                <c:pt idx="8">
                  <c:v>April</c:v>
                </c:pt>
                <c:pt idx="9">
                  <c:v>May</c:v>
                </c:pt>
              </c:strCache>
            </c:strRef>
          </c:cat>
          <c:val>
            <c:numRef>
              <c:f>Sheet1!$C$29:$L$29</c:f>
              <c:numCache>
                <c:formatCode>#,##0</c:formatCode>
                <c:ptCount val="10"/>
                <c:pt idx="0">
                  <c:v>880</c:v>
                </c:pt>
                <c:pt idx="1">
                  <c:v>3406</c:v>
                </c:pt>
                <c:pt idx="2">
                  <c:v>3043</c:v>
                </c:pt>
                <c:pt idx="3">
                  <c:v>2491</c:v>
                </c:pt>
                <c:pt idx="4">
                  <c:v>2943</c:v>
                </c:pt>
                <c:pt idx="5">
                  <c:v>3181</c:v>
                </c:pt>
                <c:pt idx="6">
                  <c:v>2743</c:v>
                </c:pt>
                <c:pt idx="7">
                  <c:v>2202</c:v>
                </c:pt>
                <c:pt idx="8">
                  <c:v>3205</c:v>
                </c:pt>
                <c:pt idx="9">
                  <c:v>3434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2D-47BC-8251-FA433EACC551}"/>
            </c:ext>
          </c:extLst>
        </c:ser>
        <c:ser>
          <c:idx val="1"/>
          <c:order val="1"/>
          <c:tx>
            <c:strRef>
              <c:f>Sheet1!$B$30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Sheet1!$C$28:$L$28</c:f>
              <c:strCache>
                <c:ptCount val="10"/>
                <c:pt idx="0">
                  <c:v>August</c:v>
                </c:pt>
                <c:pt idx="1">
                  <c:v>September</c:v>
                </c:pt>
                <c:pt idx="2">
                  <c:v>October</c:v>
                </c:pt>
                <c:pt idx="3">
                  <c:v>November</c:v>
                </c:pt>
                <c:pt idx="4">
                  <c:v>December</c:v>
                </c:pt>
                <c:pt idx="5">
                  <c:v>January</c:v>
                </c:pt>
                <c:pt idx="6">
                  <c:v>February</c:v>
                </c:pt>
                <c:pt idx="7">
                  <c:v>March</c:v>
                </c:pt>
                <c:pt idx="8">
                  <c:v>April</c:v>
                </c:pt>
                <c:pt idx="9">
                  <c:v>May</c:v>
                </c:pt>
              </c:strCache>
            </c:strRef>
          </c:cat>
          <c:val>
            <c:numRef>
              <c:f>Sheet1!$C$30:$L$30</c:f>
              <c:numCache>
                <c:formatCode>#,##0</c:formatCode>
                <c:ptCount val="10"/>
                <c:pt idx="0">
                  <c:v>3378</c:v>
                </c:pt>
                <c:pt idx="1">
                  <c:v>4551</c:v>
                </c:pt>
                <c:pt idx="2">
                  <c:v>5527</c:v>
                </c:pt>
                <c:pt idx="3">
                  <c:v>3972</c:v>
                </c:pt>
                <c:pt idx="4">
                  <c:v>4319</c:v>
                </c:pt>
                <c:pt idx="5">
                  <c:v>5341</c:v>
                </c:pt>
                <c:pt idx="6">
                  <c:v>4657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2D-47BC-8251-FA433EACC5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6727304"/>
        <c:axId val="796726648"/>
      </c:barChart>
      <c:catAx>
        <c:axId val="79672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6726648"/>
        <c:crosses val="autoZero"/>
        <c:auto val="1"/>
        <c:lblAlgn val="ctr"/>
        <c:lblOffset val="100"/>
        <c:noMultiLvlLbl val="0"/>
      </c:catAx>
      <c:valAx>
        <c:axId val="796726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6727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accent1"/>
                  </a:solidFill>
                </a:ln>
                <a:solidFill>
                  <a:schemeClr val="accent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n>
                  <a:solidFill>
                    <a:schemeClr val="accent1"/>
                  </a:solidFill>
                </a:ln>
                <a:solidFill>
                  <a:schemeClr val="accent1"/>
                </a:solidFill>
              </a:rPr>
              <a:t>FILL RATE % </a:t>
            </a:r>
          </a:p>
        </c:rich>
      </c:tx>
      <c:layout>
        <c:manualLayout>
          <c:xMode val="edge"/>
          <c:yMode val="edge"/>
          <c:x val="0.36462453004185286"/>
          <c:y val="1.91387559808612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solidFill>
                  <a:schemeClr val="accent1"/>
                </a:solidFill>
              </a:ln>
              <a:solidFill>
                <a:schemeClr val="accen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Sheet1!$B$25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Sheet1!$C$24:$L$24</c:f>
              <c:strCache>
                <c:ptCount val="10"/>
                <c:pt idx="0">
                  <c:v>August</c:v>
                </c:pt>
                <c:pt idx="1">
                  <c:v>September</c:v>
                </c:pt>
                <c:pt idx="2">
                  <c:v>October</c:v>
                </c:pt>
                <c:pt idx="3">
                  <c:v>November</c:v>
                </c:pt>
                <c:pt idx="4">
                  <c:v>December</c:v>
                </c:pt>
                <c:pt idx="5">
                  <c:v>January</c:v>
                </c:pt>
                <c:pt idx="6">
                  <c:v>February</c:v>
                </c:pt>
                <c:pt idx="7">
                  <c:v>March</c:v>
                </c:pt>
                <c:pt idx="8">
                  <c:v>April</c:v>
                </c:pt>
                <c:pt idx="9">
                  <c:v>May</c:v>
                </c:pt>
              </c:strCache>
            </c:strRef>
          </c:cat>
          <c:val>
            <c:numRef>
              <c:f>Sheet1!$C$25:$L$25</c:f>
              <c:numCache>
                <c:formatCode>General</c:formatCode>
                <c:ptCount val="10"/>
                <c:pt idx="0">
                  <c:v>58.63</c:v>
                </c:pt>
                <c:pt idx="1">
                  <c:v>61.69</c:v>
                </c:pt>
                <c:pt idx="2">
                  <c:v>64.27</c:v>
                </c:pt>
                <c:pt idx="3">
                  <c:v>68.08</c:v>
                </c:pt>
                <c:pt idx="4">
                  <c:v>75.5</c:v>
                </c:pt>
                <c:pt idx="5">
                  <c:v>56.43</c:v>
                </c:pt>
                <c:pt idx="6">
                  <c:v>67.459999999999994</c:v>
                </c:pt>
                <c:pt idx="7">
                  <c:v>73.62</c:v>
                </c:pt>
                <c:pt idx="8">
                  <c:v>67.42</c:v>
                </c:pt>
                <c:pt idx="9">
                  <c:v>69.7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F1-418C-8620-05B7127C63EC}"/>
            </c:ext>
          </c:extLst>
        </c:ser>
        <c:ser>
          <c:idx val="1"/>
          <c:order val="1"/>
          <c:tx>
            <c:strRef>
              <c:f>Sheet1!$B$26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Sheet1!$C$24:$L$24</c:f>
              <c:strCache>
                <c:ptCount val="10"/>
                <c:pt idx="0">
                  <c:v>August</c:v>
                </c:pt>
                <c:pt idx="1">
                  <c:v>September</c:v>
                </c:pt>
                <c:pt idx="2">
                  <c:v>October</c:v>
                </c:pt>
                <c:pt idx="3">
                  <c:v>November</c:v>
                </c:pt>
                <c:pt idx="4">
                  <c:v>December</c:v>
                </c:pt>
                <c:pt idx="5">
                  <c:v>January</c:v>
                </c:pt>
                <c:pt idx="6">
                  <c:v>February</c:v>
                </c:pt>
                <c:pt idx="7">
                  <c:v>March</c:v>
                </c:pt>
                <c:pt idx="8">
                  <c:v>April</c:v>
                </c:pt>
                <c:pt idx="9">
                  <c:v>May</c:v>
                </c:pt>
              </c:strCache>
            </c:strRef>
          </c:cat>
          <c:val>
            <c:numRef>
              <c:f>Sheet1!$C$26:$L$26</c:f>
              <c:numCache>
                <c:formatCode>General</c:formatCode>
                <c:ptCount val="10"/>
                <c:pt idx="0">
                  <c:v>78.180000000000007</c:v>
                </c:pt>
                <c:pt idx="1">
                  <c:v>77.19</c:v>
                </c:pt>
                <c:pt idx="2">
                  <c:v>76.760000000000005</c:v>
                </c:pt>
                <c:pt idx="3">
                  <c:v>77.989999999999995</c:v>
                </c:pt>
                <c:pt idx="4">
                  <c:v>77.53</c:v>
                </c:pt>
                <c:pt idx="5">
                  <c:v>78.33</c:v>
                </c:pt>
                <c:pt idx="6">
                  <c:v>76.959999999999994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F1-418C-8620-05B7127C6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0732752"/>
        <c:axId val="449526008"/>
      </c:barChart>
      <c:catAx>
        <c:axId val="44073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526008"/>
        <c:crosses val="autoZero"/>
        <c:auto val="1"/>
        <c:lblAlgn val="ctr"/>
        <c:lblOffset val="100"/>
        <c:noMultiLvlLbl val="0"/>
      </c:catAx>
      <c:valAx>
        <c:axId val="449526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073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5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Benne.Katherine@Labor Relations</dc:creator>
  <cp:keywords/>
  <dc:description/>
  <cp:lastModifiedBy>Peterson.Mary@Human Resources Services</cp:lastModifiedBy>
  <cp:revision>4</cp:revision>
  <dcterms:created xsi:type="dcterms:W3CDTF">2023-02-27T18:09:00Z</dcterms:created>
  <dcterms:modified xsi:type="dcterms:W3CDTF">2023-02-27T18:11:00Z</dcterms:modified>
</cp:coreProperties>
</file>