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89159" w14:textId="1651B18D" w:rsidR="00B73B36" w:rsidRDefault="00911F7F" w:rsidP="00911F7F">
      <w:pPr>
        <w:ind w:hanging="720"/>
      </w:pPr>
      <w:bookmarkStart w:id="0" w:name="_GoBack"/>
      <w:bookmarkEnd w:id="0"/>
      <w:r>
        <w:rPr>
          <w:noProof/>
        </w:rPr>
        <w:drawing>
          <wp:inline distT="0" distB="0" distL="0" distR="0" wp14:anchorId="5221C059" wp14:editId="356899F2">
            <wp:extent cx="7867015" cy="4864100"/>
            <wp:effectExtent l="0" t="0" r="63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9"/>
                    <a:srcRect l="8868" t="11454" r="67949" b="43823"/>
                    <a:stretch/>
                  </pic:blipFill>
                  <pic:spPr bwMode="auto">
                    <a:xfrm>
                      <a:off x="0" y="0"/>
                      <a:ext cx="7923271" cy="4898883"/>
                    </a:xfrm>
                    <a:prstGeom prst="rect">
                      <a:avLst/>
                    </a:prstGeom>
                    <a:ln>
                      <a:noFill/>
                    </a:ln>
                    <a:extLst>
                      <a:ext uri="{53640926-AAD7-44D8-BBD7-CCE9431645EC}">
                        <a14:shadowObscured xmlns:a14="http://schemas.microsoft.com/office/drawing/2010/main"/>
                      </a:ext>
                    </a:extLst>
                  </pic:spPr>
                </pic:pic>
              </a:graphicData>
            </a:graphic>
          </wp:inline>
        </w:drawing>
      </w:r>
    </w:p>
    <w:p w14:paraId="571519D4" w14:textId="5F8CCF47" w:rsidR="00911F7F" w:rsidRDefault="00911F7F" w:rsidP="00911F7F">
      <w:pPr>
        <w:ind w:hanging="720"/>
      </w:pPr>
    </w:p>
    <w:p w14:paraId="604ECD06" w14:textId="0378721A" w:rsidR="00F10953" w:rsidRPr="00F10953" w:rsidRDefault="00F10953" w:rsidP="00F10953">
      <w:pPr>
        <w:ind w:hanging="720"/>
        <w:jc w:val="center"/>
        <w:rPr>
          <w:rFonts w:ascii="Bahnschrift" w:hAnsi="Bahnschrift"/>
          <w:b/>
          <w:bCs/>
          <w:sz w:val="52"/>
          <w:szCs w:val="52"/>
        </w:rPr>
      </w:pPr>
      <w:r w:rsidRPr="00F10953">
        <w:rPr>
          <w:rFonts w:ascii="Bahnschrift" w:hAnsi="Bahnschrift"/>
          <w:b/>
          <w:bCs/>
          <w:sz w:val="52"/>
          <w:szCs w:val="52"/>
        </w:rPr>
        <w:t>Program Scopes and Industry Certifications</w:t>
      </w:r>
    </w:p>
    <w:tbl>
      <w:tblPr>
        <w:tblStyle w:val="TableGrid"/>
        <w:tblpPr w:leftFromText="180" w:rightFromText="180" w:vertAnchor="text" w:horzAnchor="margin" w:tblpXSpec="center" w:tblpY="67"/>
        <w:tblW w:w="11666" w:type="dxa"/>
        <w:tblLook w:val="04A0" w:firstRow="1" w:lastRow="0" w:firstColumn="1" w:lastColumn="0" w:noHBand="0" w:noVBand="1"/>
      </w:tblPr>
      <w:tblGrid>
        <w:gridCol w:w="2916"/>
        <w:gridCol w:w="2916"/>
        <w:gridCol w:w="2917"/>
        <w:gridCol w:w="2917"/>
      </w:tblGrid>
      <w:tr w:rsidR="00F10953" w14:paraId="198C4E35" w14:textId="77777777" w:rsidTr="00F10953">
        <w:trPr>
          <w:trHeight w:val="811"/>
        </w:trPr>
        <w:tc>
          <w:tcPr>
            <w:tcW w:w="2916" w:type="dxa"/>
            <w:shd w:val="clear" w:color="auto" w:fill="9933FF"/>
          </w:tcPr>
          <w:p w14:paraId="283266C4" w14:textId="77777777" w:rsidR="00F10953" w:rsidRPr="00B063AB" w:rsidRDefault="00F10953" w:rsidP="00F10953">
            <w:pPr>
              <w:jc w:val="center"/>
              <w:rPr>
                <w:rFonts w:ascii="Avenir Next LT Pro Demi" w:hAnsi="Avenir Next LT Pro Demi"/>
                <w:color w:val="FFFFFF" w:themeColor="background1"/>
                <w:sz w:val="32"/>
                <w:szCs w:val="32"/>
              </w:rPr>
            </w:pPr>
            <w:r w:rsidRPr="00B063AB">
              <w:rPr>
                <w:rFonts w:ascii="Avenir Next LT Pro Demi" w:hAnsi="Avenir Next LT Pro Demi"/>
                <w:color w:val="FFFFFF" w:themeColor="background1"/>
                <w:sz w:val="32"/>
                <w:szCs w:val="32"/>
              </w:rPr>
              <w:t>STEAM Academy</w:t>
            </w:r>
          </w:p>
        </w:tc>
        <w:tc>
          <w:tcPr>
            <w:tcW w:w="2916" w:type="dxa"/>
            <w:shd w:val="clear" w:color="auto" w:fill="9933FF"/>
          </w:tcPr>
          <w:p w14:paraId="309D264D" w14:textId="77777777" w:rsidR="00F10953" w:rsidRPr="00B063AB" w:rsidRDefault="00F10953" w:rsidP="00F10953">
            <w:pPr>
              <w:jc w:val="center"/>
              <w:rPr>
                <w:rFonts w:ascii="Avenir Next LT Pro Demi" w:hAnsi="Avenir Next LT Pro Demi"/>
                <w:color w:val="FFFFFF" w:themeColor="background1"/>
                <w:sz w:val="32"/>
                <w:szCs w:val="32"/>
              </w:rPr>
            </w:pPr>
            <w:r w:rsidRPr="00B063AB">
              <w:rPr>
                <w:rFonts w:ascii="Avenir Next LT Pro Demi" w:hAnsi="Avenir Next LT Pro Demi"/>
                <w:color w:val="FFFFFF" w:themeColor="background1"/>
                <w:sz w:val="32"/>
                <w:szCs w:val="32"/>
              </w:rPr>
              <w:t>LAUNCH Institute</w:t>
            </w:r>
          </w:p>
        </w:tc>
        <w:tc>
          <w:tcPr>
            <w:tcW w:w="2917" w:type="dxa"/>
            <w:shd w:val="clear" w:color="auto" w:fill="9933FF"/>
          </w:tcPr>
          <w:p w14:paraId="17D31B30" w14:textId="77777777" w:rsidR="00F10953" w:rsidRPr="00B063AB" w:rsidRDefault="00F10953" w:rsidP="00F10953">
            <w:pPr>
              <w:jc w:val="center"/>
              <w:rPr>
                <w:rFonts w:ascii="Avenir Next LT Pro Demi" w:hAnsi="Avenir Next LT Pro Demi"/>
                <w:color w:val="FFFFFF" w:themeColor="background1"/>
                <w:sz w:val="32"/>
                <w:szCs w:val="32"/>
              </w:rPr>
            </w:pPr>
            <w:r w:rsidRPr="00B063AB">
              <w:rPr>
                <w:rFonts w:ascii="Avenir Next LT Pro Demi" w:hAnsi="Avenir Next LT Pro Demi"/>
                <w:color w:val="FFFFFF" w:themeColor="background1"/>
                <w:sz w:val="32"/>
                <w:szCs w:val="32"/>
              </w:rPr>
              <w:t>HVAC Program</w:t>
            </w:r>
          </w:p>
        </w:tc>
        <w:tc>
          <w:tcPr>
            <w:tcW w:w="2917" w:type="dxa"/>
            <w:shd w:val="clear" w:color="auto" w:fill="9933FF"/>
          </w:tcPr>
          <w:p w14:paraId="18C6B14B" w14:textId="77777777" w:rsidR="00F10953" w:rsidRPr="00B063AB" w:rsidRDefault="00F10953" w:rsidP="00F10953">
            <w:pPr>
              <w:jc w:val="center"/>
              <w:rPr>
                <w:rFonts w:ascii="Avenir Next LT Pro Demi" w:hAnsi="Avenir Next LT Pro Demi"/>
                <w:color w:val="FFFFFF" w:themeColor="background1"/>
                <w:sz w:val="32"/>
                <w:szCs w:val="32"/>
              </w:rPr>
            </w:pPr>
            <w:r w:rsidRPr="00B063AB">
              <w:rPr>
                <w:rFonts w:ascii="Avenir Next LT Pro Demi" w:hAnsi="Avenir Next LT Pro Demi"/>
                <w:color w:val="FFFFFF" w:themeColor="background1"/>
                <w:sz w:val="32"/>
                <w:szCs w:val="32"/>
              </w:rPr>
              <w:t>Space Force JROTC</w:t>
            </w:r>
          </w:p>
        </w:tc>
      </w:tr>
      <w:tr w:rsidR="000C7296" w14:paraId="5FD50899" w14:textId="77777777" w:rsidTr="000C7296">
        <w:trPr>
          <w:trHeight w:val="1354"/>
        </w:trPr>
        <w:tc>
          <w:tcPr>
            <w:tcW w:w="2916" w:type="dxa"/>
            <w:shd w:val="clear" w:color="auto" w:fill="EAD5FF"/>
          </w:tcPr>
          <w:p w14:paraId="36A1176E" w14:textId="77777777" w:rsidR="00F10953" w:rsidRPr="00F10953" w:rsidRDefault="00F10953" w:rsidP="00B063AB">
            <w:pPr>
              <w:pStyle w:val="NormalWeb"/>
              <w:jc w:val="center"/>
              <w:rPr>
                <w:rFonts w:ascii="Bahnschrift" w:hAnsi="Bahnschrift"/>
              </w:rPr>
            </w:pPr>
            <w:r w:rsidRPr="00F10953">
              <w:rPr>
                <w:rFonts w:ascii="Bahnschrift" w:hAnsi="Bahnschrift"/>
                <w:color w:val="000000"/>
              </w:rPr>
              <w:lastRenderedPageBreak/>
              <w:t>CTE Pathways include Engineering and Drafting</w:t>
            </w:r>
          </w:p>
          <w:p w14:paraId="5D0C9812" w14:textId="77777777" w:rsidR="00F10953" w:rsidRPr="00F10953" w:rsidRDefault="00F10953" w:rsidP="00F10953">
            <w:pPr>
              <w:jc w:val="center"/>
              <w:rPr>
                <w:rFonts w:ascii="Bahnschrift" w:hAnsi="Bahnschrift"/>
                <w:sz w:val="24"/>
                <w:szCs w:val="24"/>
              </w:rPr>
            </w:pPr>
          </w:p>
        </w:tc>
        <w:tc>
          <w:tcPr>
            <w:tcW w:w="2916" w:type="dxa"/>
            <w:shd w:val="clear" w:color="auto" w:fill="EAD5FF"/>
          </w:tcPr>
          <w:p w14:paraId="4732E4D2" w14:textId="77777777" w:rsidR="00F10953" w:rsidRPr="00F10953" w:rsidRDefault="00F10953" w:rsidP="00F10953">
            <w:pPr>
              <w:pStyle w:val="NormalWeb"/>
              <w:jc w:val="center"/>
              <w:rPr>
                <w:rFonts w:ascii="Bahnschrift" w:hAnsi="Bahnschrift"/>
              </w:rPr>
            </w:pPr>
            <w:r w:rsidRPr="00F10953">
              <w:rPr>
                <w:rFonts w:ascii="Bahnschrift" w:hAnsi="Bahnschrift"/>
                <w:color w:val="000000"/>
              </w:rPr>
              <w:t>CTE Focus is on Digital Design and Business Analysis</w:t>
            </w:r>
          </w:p>
          <w:p w14:paraId="068136EA" w14:textId="77777777" w:rsidR="00F10953" w:rsidRPr="00F10953" w:rsidRDefault="00F10953" w:rsidP="00F10953">
            <w:pPr>
              <w:jc w:val="center"/>
              <w:rPr>
                <w:rFonts w:ascii="Bahnschrift" w:hAnsi="Bahnschrift"/>
                <w:sz w:val="24"/>
                <w:szCs w:val="24"/>
              </w:rPr>
            </w:pPr>
          </w:p>
        </w:tc>
        <w:tc>
          <w:tcPr>
            <w:tcW w:w="2917" w:type="dxa"/>
            <w:shd w:val="clear" w:color="auto" w:fill="EAD5FF"/>
          </w:tcPr>
          <w:p w14:paraId="262474B1" w14:textId="77777777" w:rsidR="00F10953" w:rsidRPr="00F10953" w:rsidRDefault="00F10953" w:rsidP="00F10953">
            <w:pPr>
              <w:pStyle w:val="NormalWeb"/>
              <w:jc w:val="center"/>
              <w:rPr>
                <w:rFonts w:ascii="Bahnschrift" w:hAnsi="Bahnschrift"/>
              </w:rPr>
            </w:pPr>
            <w:r w:rsidRPr="00F10953">
              <w:rPr>
                <w:rFonts w:ascii="Bahnschrift" w:hAnsi="Bahnschrift"/>
                <w:color w:val="000000"/>
              </w:rPr>
              <w:t>CTE Focus is on Heating Ventilation and Air Conditioning</w:t>
            </w:r>
          </w:p>
          <w:p w14:paraId="5F9D814A" w14:textId="77777777" w:rsidR="00F10953" w:rsidRPr="00F10953" w:rsidRDefault="00F10953" w:rsidP="00F10953">
            <w:pPr>
              <w:jc w:val="center"/>
              <w:rPr>
                <w:rFonts w:ascii="Bahnschrift" w:hAnsi="Bahnschrift"/>
                <w:sz w:val="24"/>
                <w:szCs w:val="24"/>
              </w:rPr>
            </w:pPr>
          </w:p>
        </w:tc>
        <w:tc>
          <w:tcPr>
            <w:tcW w:w="2917" w:type="dxa"/>
            <w:shd w:val="clear" w:color="auto" w:fill="EAD5FF"/>
          </w:tcPr>
          <w:p w14:paraId="3875EFAA" w14:textId="77777777" w:rsidR="00F10953" w:rsidRPr="00F10953" w:rsidRDefault="00F10953" w:rsidP="00F10953">
            <w:pPr>
              <w:pStyle w:val="NormalWeb"/>
              <w:jc w:val="center"/>
              <w:rPr>
                <w:rFonts w:ascii="Bahnschrift" w:hAnsi="Bahnschrift"/>
              </w:rPr>
            </w:pPr>
            <w:r w:rsidRPr="00F10953">
              <w:rPr>
                <w:rFonts w:ascii="Bahnschrift" w:hAnsi="Bahnschrift"/>
                <w:color w:val="000000"/>
              </w:rPr>
              <w:t>Focus is on promoting strong citizenship and community engagement</w:t>
            </w:r>
          </w:p>
          <w:p w14:paraId="1F78294C" w14:textId="77777777" w:rsidR="00F10953" w:rsidRPr="00F10953" w:rsidRDefault="00F10953" w:rsidP="00F10953">
            <w:pPr>
              <w:jc w:val="center"/>
              <w:rPr>
                <w:rFonts w:ascii="Bahnschrift" w:hAnsi="Bahnschrift"/>
                <w:sz w:val="24"/>
                <w:szCs w:val="24"/>
              </w:rPr>
            </w:pPr>
          </w:p>
        </w:tc>
      </w:tr>
      <w:tr w:rsidR="000C7296" w14:paraId="28F147E2" w14:textId="77777777" w:rsidTr="000C7296">
        <w:trPr>
          <w:trHeight w:val="2291"/>
        </w:trPr>
        <w:tc>
          <w:tcPr>
            <w:tcW w:w="2916" w:type="dxa"/>
            <w:shd w:val="clear" w:color="auto" w:fill="EAD5FF"/>
          </w:tcPr>
          <w:p w14:paraId="0AB7B412" w14:textId="77777777" w:rsidR="00F10953" w:rsidRPr="00B063AB" w:rsidRDefault="00F10953" w:rsidP="00F10953">
            <w:pPr>
              <w:rPr>
                <w:rFonts w:ascii="Bahnschrift" w:hAnsi="Bahnschrift"/>
              </w:rPr>
            </w:pPr>
            <w:r w:rsidRPr="00B063AB">
              <w:rPr>
                <w:rFonts w:ascii="Bahnschrift" w:hAnsi="Bahnschrift"/>
              </w:rPr>
              <w:t>Industry Certifications:</w:t>
            </w:r>
          </w:p>
          <w:p w14:paraId="4483CBE3" w14:textId="77777777" w:rsidR="00F10953" w:rsidRPr="00B063AB" w:rsidRDefault="00F10953" w:rsidP="00F10953">
            <w:pPr>
              <w:rPr>
                <w:rFonts w:ascii="Bahnschrift" w:hAnsi="Bahnschrift"/>
              </w:rPr>
            </w:pPr>
            <w:r w:rsidRPr="00B063AB">
              <w:rPr>
                <w:rFonts w:ascii="Bahnschrift" w:hAnsi="Bahnschrift"/>
              </w:rPr>
              <w:t xml:space="preserve">Drafting: </w:t>
            </w:r>
          </w:p>
          <w:p w14:paraId="0F31A9E5" w14:textId="77777777" w:rsidR="00F10953" w:rsidRPr="00B063AB" w:rsidRDefault="00F10953" w:rsidP="00F10953">
            <w:pPr>
              <w:pStyle w:val="ListParagraph"/>
              <w:numPr>
                <w:ilvl w:val="0"/>
                <w:numId w:val="3"/>
              </w:numPr>
              <w:rPr>
                <w:rFonts w:ascii="Bahnschrift" w:hAnsi="Bahnschrift"/>
              </w:rPr>
            </w:pPr>
            <w:proofErr w:type="spellStart"/>
            <w:r w:rsidRPr="00B063AB">
              <w:rPr>
                <w:rFonts w:ascii="Bahnschrift" w:hAnsi="Bahnschrift"/>
              </w:rPr>
              <w:t>AutoCad</w:t>
            </w:r>
            <w:proofErr w:type="spellEnd"/>
          </w:p>
          <w:p w14:paraId="7F4F7547" w14:textId="77777777" w:rsidR="00F10953" w:rsidRPr="00B063AB" w:rsidRDefault="00F10953" w:rsidP="00F10953">
            <w:pPr>
              <w:pStyle w:val="ListParagraph"/>
              <w:numPr>
                <w:ilvl w:val="0"/>
                <w:numId w:val="3"/>
              </w:numPr>
              <w:rPr>
                <w:rFonts w:ascii="Bahnschrift" w:hAnsi="Bahnschrift"/>
              </w:rPr>
            </w:pPr>
            <w:r w:rsidRPr="00B063AB">
              <w:rPr>
                <w:rFonts w:ascii="Bahnschrift" w:hAnsi="Bahnschrift"/>
              </w:rPr>
              <w:t>Inventor</w:t>
            </w:r>
          </w:p>
          <w:p w14:paraId="265322C0" w14:textId="77777777" w:rsidR="00F10953" w:rsidRPr="00B063AB" w:rsidRDefault="00F10953" w:rsidP="00F10953">
            <w:pPr>
              <w:pStyle w:val="ListParagraph"/>
              <w:numPr>
                <w:ilvl w:val="0"/>
                <w:numId w:val="3"/>
              </w:numPr>
              <w:rPr>
                <w:rFonts w:ascii="Bahnschrift" w:hAnsi="Bahnschrift"/>
              </w:rPr>
            </w:pPr>
            <w:r w:rsidRPr="00B063AB">
              <w:rPr>
                <w:rFonts w:ascii="Bahnschrift" w:hAnsi="Bahnschrift"/>
              </w:rPr>
              <w:t>Revit Architecture</w:t>
            </w:r>
          </w:p>
          <w:p w14:paraId="5E68E043" w14:textId="77777777" w:rsidR="00F10953" w:rsidRPr="00B063AB" w:rsidRDefault="00F10953" w:rsidP="00F10953">
            <w:pPr>
              <w:rPr>
                <w:rFonts w:ascii="Bahnschrift" w:hAnsi="Bahnschrift"/>
              </w:rPr>
            </w:pPr>
            <w:r w:rsidRPr="00B063AB">
              <w:rPr>
                <w:rFonts w:ascii="Bahnschrift" w:hAnsi="Bahnschrift"/>
              </w:rPr>
              <w:t>Engineering:</w:t>
            </w:r>
          </w:p>
          <w:p w14:paraId="7870533D" w14:textId="77777777" w:rsidR="00F10953" w:rsidRPr="00B063AB" w:rsidRDefault="00F10953" w:rsidP="00F10953">
            <w:pPr>
              <w:pStyle w:val="ListParagraph"/>
              <w:numPr>
                <w:ilvl w:val="0"/>
                <w:numId w:val="4"/>
              </w:numPr>
              <w:rPr>
                <w:rFonts w:ascii="Bahnschrift" w:hAnsi="Bahnschrift"/>
              </w:rPr>
            </w:pPr>
            <w:proofErr w:type="spellStart"/>
            <w:r w:rsidRPr="00B063AB">
              <w:rPr>
                <w:rFonts w:ascii="Bahnschrift" w:hAnsi="Bahnschrift"/>
              </w:rPr>
              <w:t>Solidworks</w:t>
            </w:r>
            <w:proofErr w:type="spellEnd"/>
          </w:p>
          <w:p w14:paraId="08363064" w14:textId="77777777" w:rsidR="00F10953" w:rsidRPr="00B063AB" w:rsidRDefault="00F10953" w:rsidP="00F10953">
            <w:pPr>
              <w:rPr>
                <w:rFonts w:ascii="Bahnschrift" w:hAnsi="Bahnschrift"/>
              </w:rPr>
            </w:pPr>
          </w:p>
        </w:tc>
        <w:tc>
          <w:tcPr>
            <w:tcW w:w="2916" w:type="dxa"/>
            <w:shd w:val="clear" w:color="auto" w:fill="EAD5FF"/>
          </w:tcPr>
          <w:p w14:paraId="21EB2F17" w14:textId="77777777" w:rsidR="00F10953" w:rsidRPr="00B063AB" w:rsidRDefault="00F10953" w:rsidP="00F10953">
            <w:pPr>
              <w:rPr>
                <w:rFonts w:ascii="Bahnschrift" w:hAnsi="Bahnschrift"/>
              </w:rPr>
            </w:pPr>
            <w:r w:rsidRPr="00B063AB">
              <w:rPr>
                <w:rFonts w:ascii="Bahnschrift" w:hAnsi="Bahnschrift"/>
              </w:rPr>
              <w:t>Industry Certifications:</w:t>
            </w:r>
          </w:p>
          <w:p w14:paraId="567A5920" w14:textId="77777777" w:rsidR="00F10953" w:rsidRPr="00B063AB" w:rsidRDefault="00F10953" w:rsidP="00F10953">
            <w:pPr>
              <w:rPr>
                <w:rFonts w:ascii="Bahnschrift" w:hAnsi="Bahnschrift"/>
              </w:rPr>
            </w:pPr>
            <w:r w:rsidRPr="00B063AB">
              <w:rPr>
                <w:rFonts w:ascii="Bahnschrift" w:hAnsi="Bahnschrift"/>
              </w:rPr>
              <w:t>Digital Media:</w:t>
            </w:r>
          </w:p>
          <w:p w14:paraId="2EB9FD50" w14:textId="77777777" w:rsidR="00F10953" w:rsidRPr="00B063AB" w:rsidRDefault="00F10953" w:rsidP="00F10953">
            <w:pPr>
              <w:pStyle w:val="ListParagraph"/>
              <w:numPr>
                <w:ilvl w:val="0"/>
                <w:numId w:val="4"/>
              </w:numPr>
              <w:rPr>
                <w:rFonts w:ascii="Bahnschrift" w:hAnsi="Bahnschrift"/>
              </w:rPr>
            </w:pPr>
            <w:r w:rsidRPr="00B063AB">
              <w:rPr>
                <w:rFonts w:ascii="Bahnschrift" w:hAnsi="Bahnschrift"/>
              </w:rPr>
              <w:t>Adobe Visual Design</w:t>
            </w:r>
          </w:p>
          <w:p w14:paraId="3037B3FD" w14:textId="77777777" w:rsidR="00F10953" w:rsidRPr="00B063AB" w:rsidRDefault="00F10953" w:rsidP="00F10953">
            <w:pPr>
              <w:pStyle w:val="ListParagraph"/>
              <w:numPr>
                <w:ilvl w:val="0"/>
                <w:numId w:val="4"/>
              </w:numPr>
              <w:rPr>
                <w:rFonts w:ascii="Bahnschrift" w:hAnsi="Bahnschrift"/>
              </w:rPr>
            </w:pPr>
            <w:r w:rsidRPr="00B063AB">
              <w:rPr>
                <w:rFonts w:ascii="Bahnschrift" w:hAnsi="Bahnschrift"/>
              </w:rPr>
              <w:t>Adobe Web Design</w:t>
            </w:r>
          </w:p>
          <w:p w14:paraId="6400C727" w14:textId="77777777" w:rsidR="00F10953" w:rsidRPr="00B063AB" w:rsidRDefault="00F10953" w:rsidP="00F10953">
            <w:pPr>
              <w:pStyle w:val="ListParagraph"/>
              <w:numPr>
                <w:ilvl w:val="0"/>
                <w:numId w:val="4"/>
              </w:numPr>
              <w:rPr>
                <w:rFonts w:ascii="Bahnschrift" w:hAnsi="Bahnschrift"/>
              </w:rPr>
            </w:pPr>
            <w:r w:rsidRPr="00B063AB">
              <w:rPr>
                <w:rFonts w:ascii="Bahnschrift" w:hAnsi="Bahnschrift"/>
              </w:rPr>
              <w:t>Adobe Video Design</w:t>
            </w:r>
          </w:p>
        </w:tc>
        <w:tc>
          <w:tcPr>
            <w:tcW w:w="2917" w:type="dxa"/>
            <w:shd w:val="clear" w:color="auto" w:fill="EAD5FF"/>
          </w:tcPr>
          <w:p w14:paraId="0CE4FFA2" w14:textId="77777777" w:rsidR="00F10953" w:rsidRPr="00B063AB" w:rsidRDefault="00F10953" w:rsidP="00F10953">
            <w:pPr>
              <w:rPr>
                <w:rFonts w:ascii="Bahnschrift" w:hAnsi="Bahnschrift"/>
              </w:rPr>
            </w:pPr>
            <w:r w:rsidRPr="00B063AB">
              <w:rPr>
                <w:rFonts w:ascii="Bahnschrift" w:hAnsi="Bahnschrift"/>
              </w:rPr>
              <w:t>Industry Certifications:</w:t>
            </w:r>
          </w:p>
          <w:p w14:paraId="482FA2DF" w14:textId="77777777" w:rsidR="00F10953" w:rsidRPr="00B063AB" w:rsidRDefault="00F10953" w:rsidP="00F10953">
            <w:pPr>
              <w:pStyle w:val="ListParagraph"/>
              <w:numPr>
                <w:ilvl w:val="0"/>
                <w:numId w:val="5"/>
              </w:numPr>
              <w:rPr>
                <w:rFonts w:ascii="Bahnschrift" w:hAnsi="Bahnschrift"/>
              </w:rPr>
            </w:pPr>
            <w:r w:rsidRPr="00B063AB">
              <w:rPr>
                <w:rFonts w:ascii="Bahnschrift" w:hAnsi="Bahnschrift"/>
              </w:rPr>
              <w:t>EPA</w:t>
            </w:r>
          </w:p>
          <w:p w14:paraId="6688279E" w14:textId="77777777" w:rsidR="00F10953" w:rsidRPr="00B063AB" w:rsidRDefault="00F10953" w:rsidP="00F10953">
            <w:pPr>
              <w:pStyle w:val="ListParagraph"/>
              <w:numPr>
                <w:ilvl w:val="0"/>
                <w:numId w:val="5"/>
              </w:numPr>
              <w:rPr>
                <w:rFonts w:ascii="Bahnschrift" w:hAnsi="Bahnschrift"/>
              </w:rPr>
            </w:pPr>
            <w:r w:rsidRPr="00B063AB">
              <w:rPr>
                <w:rFonts w:ascii="Bahnschrift" w:hAnsi="Bahnschrift"/>
              </w:rPr>
              <w:t>SP 2 Safety</w:t>
            </w:r>
          </w:p>
          <w:p w14:paraId="1064B3BD" w14:textId="77777777" w:rsidR="00F10953" w:rsidRPr="00B063AB" w:rsidRDefault="00F10953" w:rsidP="00F10953">
            <w:pPr>
              <w:pStyle w:val="ListParagraph"/>
              <w:numPr>
                <w:ilvl w:val="0"/>
                <w:numId w:val="5"/>
              </w:numPr>
              <w:rPr>
                <w:rFonts w:ascii="Bahnschrift" w:hAnsi="Bahnschrift"/>
              </w:rPr>
            </w:pPr>
            <w:r w:rsidRPr="00B063AB">
              <w:rPr>
                <w:rFonts w:ascii="Bahnschrift" w:hAnsi="Bahnschrift"/>
              </w:rPr>
              <w:t>HBI PACT Core</w:t>
            </w:r>
          </w:p>
          <w:p w14:paraId="02501D40" w14:textId="77777777" w:rsidR="00F10953" w:rsidRPr="00B063AB" w:rsidRDefault="00F10953" w:rsidP="00F10953">
            <w:pPr>
              <w:pStyle w:val="ListParagraph"/>
              <w:numPr>
                <w:ilvl w:val="0"/>
                <w:numId w:val="5"/>
              </w:numPr>
              <w:rPr>
                <w:rFonts w:ascii="Bahnschrift" w:hAnsi="Bahnschrift"/>
              </w:rPr>
            </w:pPr>
            <w:r w:rsidRPr="00B063AB">
              <w:rPr>
                <w:rFonts w:ascii="Bahnschrift" w:hAnsi="Bahnschrift"/>
              </w:rPr>
              <w:t>OSHA 10</w:t>
            </w:r>
          </w:p>
        </w:tc>
        <w:tc>
          <w:tcPr>
            <w:tcW w:w="2917" w:type="dxa"/>
            <w:shd w:val="clear" w:color="auto" w:fill="EAD5FF"/>
          </w:tcPr>
          <w:p w14:paraId="567ECD95" w14:textId="77777777" w:rsidR="00F10953" w:rsidRPr="00B063AB" w:rsidRDefault="00F10953" w:rsidP="00F10953">
            <w:pPr>
              <w:rPr>
                <w:rFonts w:ascii="Bahnschrift" w:hAnsi="Bahnschrift"/>
              </w:rPr>
            </w:pPr>
            <w:r w:rsidRPr="00B063AB">
              <w:rPr>
                <w:rFonts w:ascii="Bahnschrift" w:hAnsi="Bahnschrift"/>
              </w:rPr>
              <w:t>Skills Taught:</w:t>
            </w:r>
          </w:p>
          <w:p w14:paraId="16BA7A9C" w14:textId="77777777" w:rsidR="00F10953" w:rsidRDefault="00823116" w:rsidP="00823116">
            <w:pPr>
              <w:pStyle w:val="ListParagraph"/>
              <w:numPr>
                <w:ilvl w:val="0"/>
                <w:numId w:val="6"/>
              </w:numPr>
              <w:rPr>
                <w:rFonts w:ascii="Bahnschrift" w:hAnsi="Bahnschrift"/>
              </w:rPr>
            </w:pPr>
            <w:r>
              <w:rPr>
                <w:rFonts w:ascii="Bahnschrift" w:hAnsi="Bahnschrift"/>
              </w:rPr>
              <w:t>Aerospace Science</w:t>
            </w:r>
          </w:p>
          <w:p w14:paraId="26381F8B" w14:textId="77777777" w:rsidR="00823116" w:rsidRDefault="00823116" w:rsidP="00823116">
            <w:pPr>
              <w:pStyle w:val="ListParagraph"/>
              <w:numPr>
                <w:ilvl w:val="0"/>
                <w:numId w:val="6"/>
              </w:numPr>
              <w:rPr>
                <w:rFonts w:ascii="Bahnschrift" w:hAnsi="Bahnschrift"/>
              </w:rPr>
            </w:pPr>
            <w:r>
              <w:rPr>
                <w:rFonts w:ascii="Bahnschrift" w:hAnsi="Bahnschrift"/>
              </w:rPr>
              <w:t>Leadership</w:t>
            </w:r>
          </w:p>
          <w:p w14:paraId="59A1A2D9" w14:textId="6A304E0C" w:rsidR="00823116" w:rsidRPr="00823116" w:rsidRDefault="00823116" w:rsidP="00823116">
            <w:pPr>
              <w:pStyle w:val="ListParagraph"/>
              <w:numPr>
                <w:ilvl w:val="0"/>
                <w:numId w:val="6"/>
              </w:numPr>
              <w:rPr>
                <w:rFonts w:ascii="Bahnschrift" w:hAnsi="Bahnschrift"/>
              </w:rPr>
            </w:pPr>
            <w:r>
              <w:rPr>
                <w:rFonts w:ascii="Bahnschrift" w:hAnsi="Bahnschrift"/>
              </w:rPr>
              <w:t>Health and Wellness</w:t>
            </w:r>
          </w:p>
        </w:tc>
      </w:tr>
    </w:tbl>
    <w:p w14:paraId="3B75FBF1" w14:textId="77777777" w:rsidR="00F10953" w:rsidRDefault="00F10953" w:rsidP="00911F7F">
      <w:pPr>
        <w:ind w:hanging="720"/>
      </w:pPr>
    </w:p>
    <w:p w14:paraId="4D785368" w14:textId="16C07BAE" w:rsidR="00F10953" w:rsidRDefault="00F04C8C" w:rsidP="00911F7F">
      <w:pPr>
        <w:ind w:hanging="720"/>
      </w:pPr>
      <w:r>
        <w:rPr>
          <w:noProof/>
        </w:rPr>
        <mc:AlternateContent>
          <mc:Choice Requires="wps">
            <w:drawing>
              <wp:anchor distT="0" distB="0" distL="114300" distR="114300" simplePos="0" relativeHeight="251659264" behindDoc="0" locked="0" layoutInCell="1" allowOverlap="1" wp14:anchorId="08C3A807" wp14:editId="2C641683">
                <wp:simplePos x="0" y="0"/>
                <wp:positionH relativeFrom="column">
                  <wp:posOffset>-279400</wp:posOffset>
                </wp:positionH>
                <wp:positionV relativeFrom="paragraph">
                  <wp:posOffset>266700</wp:posOffset>
                </wp:positionV>
                <wp:extent cx="7442200" cy="12700"/>
                <wp:effectExtent l="19050" t="19050" r="6350" b="6350"/>
                <wp:wrapNone/>
                <wp:docPr id="10366428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42200" cy="127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C72F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1pt" to="5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" strokecolor="black [3200]" strokeweight="3pt">
                <v:stroke joinstyle="miter"/>
                <o:lock v:ext="edit" shapetype="f"/>
              </v:line>
            </w:pict>
          </mc:Fallback>
        </mc:AlternateContent>
      </w:r>
    </w:p>
    <w:p w14:paraId="1299A740" w14:textId="77777777" w:rsidR="006E2754" w:rsidRDefault="006E2754" w:rsidP="006E2754">
      <w:pPr>
        <w:pStyle w:val="NormalWeb"/>
        <w:rPr>
          <w:rFonts w:ascii="Bahnschrift" w:hAnsi="Bahnschrift"/>
          <w:b/>
          <w:bCs/>
          <w:color w:val="000000"/>
          <w:sz w:val="52"/>
          <w:szCs w:val="52"/>
        </w:rPr>
      </w:pPr>
    </w:p>
    <w:tbl>
      <w:tblPr>
        <w:tblStyle w:val="TableGrid"/>
        <w:tblpPr w:leftFromText="180" w:rightFromText="180" w:vertAnchor="text" w:horzAnchor="margin" w:tblpXSpec="center" w:tblpY="898"/>
        <w:tblW w:w="11646" w:type="dxa"/>
        <w:tblLook w:val="04A0" w:firstRow="1" w:lastRow="0" w:firstColumn="1" w:lastColumn="0" w:noHBand="0" w:noVBand="1"/>
      </w:tblPr>
      <w:tblGrid>
        <w:gridCol w:w="2911"/>
        <w:gridCol w:w="2911"/>
        <w:gridCol w:w="2912"/>
        <w:gridCol w:w="2912"/>
      </w:tblGrid>
      <w:tr w:rsidR="000C7296" w14:paraId="09FA6672" w14:textId="77777777" w:rsidTr="006E2754">
        <w:trPr>
          <w:trHeight w:val="787"/>
        </w:trPr>
        <w:tc>
          <w:tcPr>
            <w:tcW w:w="2911" w:type="dxa"/>
            <w:shd w:val="clear" w:color="auto" w:fill="9933FF"/>
          </w:tcPr>
          <w:p w14:paraId="6FFEC7DC" w14:textId="77777777" w:rsidR="006E2754" w:rsidRDefault="006E2754" w:rsidP="006E2754">
            <w:pPr>
              <w:jc w:val="center"/>
            </w:pPr>
            <w:r w:rsidRPr="00B063AB">
              <w:rPr>
                <w:rFonts w:ascii="Avenir Next LT Pro Demi" w:hAnsi="Avenir Next LT Pro Demi"/>
                <w:color w:val="FFFFFF" w:themeColor="background1"/>
                <w:sz w:val="32"/>
                <w:szCs w:val="32"/>
              </w:rPr>
              <w:t>STEAM Academy</w:t>
            </w:r>
          </w:p>
        </w:tc>
        <w:tc>
          <w:tcPr>
            <w:tcW w:w="2911" w:type="dxa"/>
            <w:shd w:val="clear" w:color="auto" w:fill="9933FF"/>
          </w:tcPr>
          <w:p w14:paraId="1C46260E" w14:textId="77777777" w:rsidR="006E2754" w:rsidRDefault="006E2754" w:rsidP="006E2754">
            <w:pPr>
              <w:jc w:val="center"/>
            </w:pPr>
            <w:r w:rsidRPr="00B063AB">
              <w:rPr>
                <w:rFonts w:ascii="Avenir Next LT Pro Demi" w:hAnsi="Avenir Next LT Pro Demi"/>
                <w:color w:val="FFFFFF" w:themeColor="background1"/>
                <w:sz w:val="32"/>
                <w:szCs w:val="32"/>
              </w:rPr>
              <w:t>LAUNCH Institute</w:t>
            </w:r>
          </w:p>
        </w:tc>
        <w:tc>
          <w:tcPr>
            <w:tcW w:w="2912" w:type="dxa"/>
            <w:shd w:val="clear" w:color="auto" w:fill="9933FF"/>
          </w:tcPr>
          <w:p w14:paraId="4A2EA68D" w14:textId="77777777" w:rsidR="006E2754" w:rsidRDefault="006E2754" w:rsidP="006E2754">
            <w:pPr>
              <w:jc w:val="center"/>
            </w:pPr>
            <w:r w:rsidRPr="00B063AB">
              <w:rPr>
                <w:rFonts w:ascii="Avenir Next LT Pro Demi" w:hAnsi="Avenir Next LT Pro Demi"/>
                <w:color w:val="FFFFFF" w:themeColor="background1"/>
                <w:sz w:val="32"/>
                <w:szCs w:val="32"/>
              </w:rPr>
              <w:t>HVAC Program</w:t>
            </w:r>
          </w:p>
        </w:tc>
        <w:tc>
          <w:tcPr>
            <w:tcW w:w="2912" w:type="dxa"/>
            <w:shd w:val="clear" w:color="auto" w:fill="9933FF"/>
          </w:tcPr>
          <w:p w14:paraId="7AB8434A" w14:textId="77777777" w:rsidR="006E2754" w:rsidRDefault="006E2754" w:rsidP="006E2754">
            <w:pPr>
              <w:jc w:val="center"/>
            </w:pPr>
            <w:r w:rsidRPr="00B063AB">
              <w:rPr>
                <w:rFonts w:ascii="Avenir Next LT Pro Demi" w:hAnsi="Avenir Next LT Pro Demi"/>
                <w:color w:val="FFFFFF" w:themeColor="background1"/>
                <w:sz w:val="32"/>
                <w:szCs w:val="32"/>
              </w:rPr>
              <w:t>Space Force JROTC</w:t>
            </w:r>
          </w:p>
        </w:tc>
      </w:tr>
      <w:tr w:rsidR="000C7296" w14:paraId="16495B8C" w14:textId="77777777" w:rsidTr="00823116">
        <w:trPr>
          <w:trHeight w:val="6566"/>
        </w:trPr>
        <w:tc>
          <w:tcPr>
            <w:tcW w:w="2911" w:type="dxa"/>
            <w:tcBorders>
              <w:bottom w:val="single" w:sz="4" w:space="0" w:color="auto"/>
            </w:tcBorders>
            <w:shd w:val="clear" w:color="auto" w:fill="EAD5FF"/>
          </w:tcPr>
          <w:p w14:paraId="6638E0EE" w14:textId="77777777" w:rsidR="006E2754" w:rsidRPr="006E2754" w:rsidRDefault="006E2754" w:rsidP="006E2754">
            <w:pPr>
              <w:pStyle w:val="NormalWeb"/>
              <w:rPr>
                <w:rFonts w:ascii="Bahnschrift" w:hAnsi="Bahnschrift"/>
                <w:sz w:val="32"/>
                <w:szCs w:val="32"/>
              </w:rPr>
            </w:pPr>
            <w:r w:rsidRPr="006E2754">
              <w:rPr>
                <w:rFonts w:ascii="Bahnschrift" w:hAnsi="Bahnschrift"/>
                <w:color w:val="000000"/>
                <w:sz w:val="22"/>
                <w:szCs w:val="22"/>
              </w:rPr>
              <w:lastRenderedPageBreak/>
              <w:t>Space Coast Jr/Sr High School had 2 teams travel to Houston Texas compete at NASA Hunch (High schools United with NASA to Create Hardware) this past year. Steam Academy and engineering students will create and problem solve a variety of items given to them directly from the astronauts’ needs on the International Space Station. Selected prototypes are fabricated by NASA and sent up to the International Space Station. Students also have the ability to Dual Enroll with Eastern Florida State College for CNC Machining and gain employment with business partners such as Knight's Armament.</w:t>
            </w:r>
          </w:p>
          <w:p w14:paraId="2F19E92C" w14:textId="77777777" w:rsidR="006E2754" w:rsidRDefault="006E2754" w:rsidP="006E2754"/>
        </w:tc>
        <w:tc>
          <w:tcPr>
            <w:tcW w:w="2911" w:type="dxa"/>
            <w:tcBorders>
              <w:bottom w:val="single" w:sz="4" w:space="0" w:color="auto"/>
            </w:tcBorders>
            <w:shd w:val="clear" w:color="auto" w:fill="EAD5FF"/>
          </w:tcPr>
          <w:p w14:paraId="19815497" w14:textId="77777777" w:rsidR="006E2754" w:rsidRPr="006E2754" w:rsidRDefault="006E2754" w:rsidP="006E2754">
            <w:pPr>
              <w:pStyle w:val="NormalWeb"/>
              <w:rPr>
                <w:rFonts w:ascii="Bahnschrift" w:hAnsi="Bahnschrift"/>
                <w:sz w:val="22"/>
                <w:szCs w:val="22"/>
              </w:rPr>
            </w:pPr>
            <w:r w:rsidRPr="006E2754">
              <w:rPr>
                <w:rFonts w:ascii="Bahnschrift" w:hAnsi="Bahnschrift"/>
                <w:color w:val="000000"/>
                <w:sz w:val="22"/>
                <w:szCs w:val="22"/>
              </w:rPr>
              <w:t xml:space="preserve">Through the rigor of LAUNCH and skills gained from project-based learning, students excel in their courses on campus </w:t>
            </w:r>
            <w:proofErr w:type="gramStart"/>
            <w:r w:rsidRPr="006E2754">
              <w:rPr>
                <w:rFonts w:ascii="Bahnschrift" w:hAnsi="Bahnschrift"/>
                <w:color w:val="000000"/>
                <w:sz w:val="22"/>
                <w:szCs w:val="22"/>
              </w:rPr>
              <w:t>and also</w:t>
            </w:r>
            <w:proofErr w:type="gramEnd"/>
            <w:r w:rsidRPr="006E2754">
              <w:rPr>
                <w:rFonts w:ascii="Bahnschrift" w:hAnsi="Bahnschrift"/>
                <w:color w:val="000000"/>
                <w:sz w:val="22"/>
                <w:szCs w:val="22"/>
              </w:rPr>
              <w:t xml:space="preserve"> earn industry certifications. Space Coast Jr/Sr High students have abundant opportunities to gain paid and unpaid internships with local business partners once they have completed 3 years of a CTE track.</w:t>
            </w:r>
          </w:p>
          <w:p w14:paraId="1013073E" w14:textId="77777777" w:rsidR="006E2754" w:rsidRDefault="006E2754" w:rsidP="006E2754"/>
        </w:tc>
        <w:tc>
          <w:tcPr>
            <w:tcW w:w="2912" w:type="dxa"/>
            <w:tcBorders>
              <w:bottom w:val="single" w:sz="4" w:space="0" w:color="auto"/>
            </w:tcBorders>
            <w:shd w:val="clear" w:color="auto" w:fill="EAD5FF"/>
          </w:tcPr>
          <w:p w14:paraId="392876EE" w14:textId="77777777" w:rsidR="006E2754" w:rsidRPr="006E2754" w:rsidRDefault="006E2754" w:rsidP="006E2754">
            <w:pPr>
              <w:pStyle w:val="NormalWeb"/>
              <w:rPr>
                <w:rFonts w:ascii="Bahnschrift" w:hAnsi="Bahnschrift"/>
                <w:sz w:val="22"/>
                <w:szCs w:val="22"/>
              </w:rPr>
            </w:pPr>
            <w:r w:rsidRPr="006E2754">
              <w:rPr>
                <w:rFonts w:ascii="Bahnschrift" w:hAnsi="Bahnschrift"/>
                <w:color w:val="000000"/>
                <w:sz w:val="22"/>
                <w:szCs w:val="22"/>
              </w:rPr>
              <w:t>With their hands-on experience and industry certifications, HVAC students have opportunities to obtain paid internships with local business partners as well as with the School Board of Brevard Public Schools to work as HVAC technicians while also finishing their High School education. Additionally, students have opportunities to Dual Enroll with Eastern Florida State College to earn higher certifications while enrolled at Space Coast.</w:t>
            </w:r>
          </w:p>
          <w:p w14:paraId="45098939" w14:textId="77777777" w:rsidR="006E2754" w:rsidRDefault="006E2754" w:rsidP="006E2754"/>
        </w:tc>
        <w:tc>
          <w:tcPr>
            <w:tcW w:w="2912" w:type="dxa"/>
            <w:tcBorders>
              <w:bottom w:val="single" w:sz="4" w:space="0" w:color="auto"/>
            </w:tcBorders>
            <w:shd w:val="clear" w:color="auto" w:fill="EAD5FF"/>
          </w:tcPr>
          <w:p w14:paraId="66F6BE88" w14:textId="7E4A0BC1" w:rsidR="000C7296" w:rsidRPr="000C7296" w:rsidRDefault="000C7296" w:rsidP="000C7296">
            <w:pPr>
              <w:pStyle w:val="NormalWeb"/>
              <w:rPr>
                <w:rFonts w:ascii="Bahnschrift" w:hAnsi="Bahnschrift"/>
                <w:sz w:val="32"/>
                <w:szCs w:val="32"/>
              </w:rPr>
            </w:pPr>
            <w:r w:rsidRPr="000C7296">
              <w:rPr>
                <w:rFonts w:ascii="Bahnschrift" w:hAnsi="Bahnschrift"/>
                <w:color w:val="000000"/>
                <w:sz w:val="22"/>
                <w:szCs w:val="22"/>
              </w:rPr>
              <w:t xml:space="preserve">The sky is no longer the limit for Space Coast Jr/Sr High students as they took a step toward space when they officially transitioned into one of only </w:t>
            </w:r>
            <w:r w:rsidR="003A3033">
              <w:rPr>
                <w:rFonts w:ascii="Bahnschrift" w:hAnsi="Bahnschrift"/>
                <w:color w:val="000000"/>
                <w:sz w:val="22"/>
                <w:szCs w:val="22"/>
              </w:rPr>
              <w:t>ten</w:t>
            </w:r>
            <w:r w:rsidRPr="000C7296">
              <w:rPr>
                <w:rFonts w:ascii="Bahnschrift" w:hAnsi="Bahnschrift"/>
                <w:color w:val="000000"/>
                <w:sz w:val="22"/>
                <w:szCs w:val="22"/>
              </w:rPr>
              <w:t xml:space="preserve"> United States Space Force JROTC units in the</w:t>
            </w:r>
            <w:r w:rsidR="00823116">
              <w:rPr>
                <w:rFonts w:ascii="Bahnschrift" w:hAnsi="Bahnschrift"/>
                <w:color w:val="000000"/>
                <w:sz w:val="22"/>
                <w:szCs w:val="22"/>
              </w:rPr>
              <w:t xml:space="preserve"> </w:t>
            </w:r>
            <w:r w:rsidRPr="000C7296">
              <w:rPr>
                <w:rFonts w:ascii="Bahnschrift" w:hAnsi="Bahnschrift"/>
                <w:color w:val="000000"/>
                <w:sz w:val="22"/>
                <w:szCs w:val="22"/>
              </w:rPr>
              <w:t xml:space="preserve">world. Guardians who participate in the Space Force JROTC at Space Coast Jr/Sr High School </w:t>
            </w:r>
            <w:proofErr w:type="gramStart"/>
            <w:r w:rsidRPr="000C7296">
              <w:rPr>
                <w:rFonts w:ascii="Bahnschrift" w:hAnsi="Bahnschrift"/>
                <w:color w:val="000000"/>
                <w:sz w:val="22"/>
                <w:szCs w:val="22"/>
              </w:rPr>
              <w:t>are taught and held to the highest standard</w:t>
            </w:r>
            <w:proofErr w:type="gramEnd"/>
            <w:r w:rsidRPr="000C7296">
              <w:rPr>
                <w:rFonts w:ascii="Bahnschrift" w:hAnsi="Bahnschrift"/>
                <w:color w:val="000000"/>
                <w:sz w:val="22"/>
                <w:szCs w:val="22"/>
              </w:rPr>
              <w:t xml:space="preserve">. Space Coast Jr/Sr High School had a J-100 Scholarship recipient in the 2022-2023 School </w:t>
            </w:r>
            <w:proofErr w:type="gramStart"/>
            <w:r w:rsidRPr="000C7296">
              <w:rPr>
                <w:rFonts w:ascii="Bahnschrift" w:hAnsi="Bahnschrift"/>
                <w:color w:val="000000"/>
                <w:sz w:val="22"/>
                <w:szCs w:val="22"/>
              </w:rPr>
              <w:t>year which</w:t>
            </w:r>
            <w:proofErr w:type="gramEnd"/>
            <w:r w:rsidRPr="000C7296">
              <w:rPr>
                <w:rFonts w:ascii="Bahnschrift" w:hAnsi="Bahnschrift"/>
                <w:color w:val="000000"/>
                <w:sz w:val="22"/>
                <w:szCs w:val="22"/>
              </w:rPr>
              <w:t xml:space="preserve"> placed the cadet in the top 100 in the country. </w:t>
            </w:r>
            <w:r w:rsidR="00823116">
              <w:rPr>
                <w:rFonts w:ascii="Bahnschrift" w:hAnsi="Bahnschrift"/>
                <w:color w:val="000000"/>
                <w:sz w:val="22"/>
                <w:szCs w:val="22"/>
              </w:rPr>
              <w:t>Space Coast Guardians can enlist as an Airman 1</w:t>
            </w:r>
            <w:r w:rsidR="00823116" w:rsidRPr="00823116">
              <w:rPr>
                <w:rFonts w:ascii="Bahnschrift" w:hAnsi="Bahnschrift"/>
                <w:color w:val="000000"/>
                <w:sz w:val="22"/>
                <w:szCs w:val="22"/>
                <w:vertAlign w:val="superscript"/>
              </w:rPr>
              <w:t>st</w:t>
            </w:r>
            <w:r w:rsidR="00823116">
              <w:rPr>
                <w:rFonts w:ascii="Bahnschrift" w:hAnsi="Bahnschrift"/>
                <w:color w:val="000000"/>
                <w:sz w:val="22"/>
                <w:szCs w:val="22"/>
              </w:rPr>
              <w:t xml:space="preserve"> Class (E-3) with 3 years of SFJROTC experience.</w:t>
            </w:r>
          </w:p>
          <w:p w14:paraId="19E23649" w14:textId="77777777" w:rsidR="006E2754" w:rsidRDefault="006E2754" w:rsidP="006E2754"/>
        </w:tc>
      </w:tr>
      <w:tr w:rsidR="000C7296" w14:paraId="562E712D" w14:textId="77777777" w:rsidTr="00823116">
        <w:trPr>
          <w:trHeight w:val="272"/>
        </w:trPr>
        <w:tc>
          <w:tcPr>
            <w:tcW w:w="2911" w:type="dxa"/>
            <w:shd w:val="clear" w:color="auto" w:fill="EAD5FF"/>
          </w:tcPr>
          <w:p w14:paraId="1749D936" w14:textId="5E38566D" w:rsidR="006E2754" w:rsidRDefault="000C7296" w:rsidP="000C7296">
            <w:pPr>
              <w:jc w:val="center"/>
            </w:pPr>
            <w:r>
              <w:rPr>
                <w:noProof/>
              </w:rPr>
              <w:drawing>
                <wp:inline distT="0" distB="0" distL="0" distR="0" wp14:anchorId="36CE18DA" wp14:editId="47F680B2">
                  <wp:extent cx="995022" cy="1238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4119" cy="1249570"/>
                          </a:xfrm>
                          <a:prstGeom prst="rect">
                            <a:avLst/>
                          </a:prstGeom>
                          <a:noFill/>
                          <a:ln>
                            <a:noFill/>
                          </a:ln>
                        </pic:spPr>
                      </pic:pic>
                    </a:graphicData>
                  </a:graphic>
                </wp:inline>
              </w:drawing>
            </w:r>
          </w:p>
        </w:tc>
        <w:tc>
          <w:tcPr>
            <w:tcW w:w="2911" w:type="dxa"/>
            <w:shd w:val="clear" w:color="auto" w:fill="EAD5FF"/>
          </w:tcPr>
          <w:p w14:paraId="071EADCF" w14:textId="388D9EBF" w:rsidR="006E2754" w:rsidRDefault="000C7296" w:rsidP="000C7296">
            <w:pPr>
              <w:jc w:val="center"/>
            </w:pPr>
            <w:r>
              <w:rPr>
                <w:noProof/>
              </w:rPr>
              <w:drawing>
                <wp:inline distT="0" distB="0" distL="0" distR="0" wp14:anchorId="11C360EA" wp14:editId="636F82B7">
                  <wp:extent cx="990600" cy="123274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330" cy="1262277"/>
                          </a:xfrm>
                          <a:prstGeom prst="rect">
                            <a:avLst/>
                          </a:prstGeom>
                          <a:noFill/>
                          <a:ln>
                            <a:noFill/>
                          </a:ln>
                        </pic:spPr>
                      </pic:pic>
                    </a:graphicData>
                  </a:graphic>
                </wp:inline>
              </w:drawing>
            </w:r>
          </w:p>
        </w:tc>
        <w:tc>
          <w:tcPr>
            <w:tcW w:w="2912" w:type="dxa"/>
            <w:shd w:val="clear" w:color="auto" w:fill="EAD5FF"/>
          </w:tcPr>
          <w:p w14:paraId="3EFE92B9" w14:textId="2A596337" w:rsidR="006E2754" w:rsidRDefault="000C7296" w:rsidP="000C7296">
            <w:pPr>
              <w:jc w:val="center"/>
            </w:pPr>
            <w:r>
              <w:rPr>
                <w:noProof/>
              </w:rPr>
              <w:drawing>
                <wp:inline distT="0" distB="0" distL="0" distR="0" wp14:anchorId="4DED8E17" wp14:editId="27C248CC">
                  <wp:extent cx="1168400" cy="1244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8521" cy="1276542"/>
                          </a:xfrm>
                          <a:prstGeom prst="rect">
                            <a:avLst/>
                          </a:prstGeom>
                          <a:noFill/>
                          <a:ln>
                            <a:noFill/>
                          </a:ln>
                        </pic:spPr>
                      </pic:pic>
                    </a:graphicData>
                  </a:graphic>
                </wp:inline>
              </w:drawing>
            </w:r>
          </w:p>
        </w:tc>
        <w:tc>
          <w:tcPr>
            <w:tcW w:w="2912" w:type="dxa"/>
            <w:tcBorders>
              <w:right w:val="single" w:sz="4" w:space="0" w:color="auto"/>
            </w:tcBorders>
            <w:shd w:val="clear" w:color="auto" w:fill="EAD5FF"/>
          </w:tcPr>
          <w:p w14:paraId="474FA9B5" w14:textId="68484E77" w:rsidR="006E2754" w:rsidRDefault="000C7296" w:rsidP="000C7296">
            <w:pPr>
              <w:jc w:val="center"/>
            </w:pPr>
            <w:r>
              <w:rPr>
                <w:noProof/>
              </w:rPr>
              <w:drawing>
                <wp:inline distT="0" distB="0" distL="0" distR="0" wp14:anchorId="174DA1A6" wp14:editId="1FEED085">
                  <wp:extent cx="1003300" cy="1248551"/>
                  <wp:effectExtent l="0" t="0" r="635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2520" cy="1260024"/>
                          </a:xfrm>
                          <a:prstGeom prst="rect">
                            <a:avLst/>
                          </a:prstGeom>
                          <a:noFill/>
                          <a:ln>
                            <a:noFill/>
                          </a:ln>
                        </pic:spPr>
                      </pic:pic>
                    </a:graphicData>
                  </a:graphic>
                </wp:inline>
              </w:drawing>
            </w:r>
          </w:p>
        </w:tc>
      </w:tr>
    </w:tbl>
    <w:p w14:paraId="3D32D900" w14:textId="62C74B1E" w:rsidR="006E2754" w:rsidRPr="006E2754" w:rsidRDefault="006E2754" w:rsidP="006E2754">
      <w:pPr>
        <w:pStyle w:val="NormalWeb"/>
        <w:ind w:firstLine="720"/>
        <w:jc w:val="center"/>
        <w:rPr>
          <w:rFonts w:ascii="Bahnschrift" w:hAnsi="Bahnschrift"/>
          <w:b/>
          <w:bCs/>
          <w:sz w:val="52"/>
          <w:szCs w:val="52"/>
        </w:rPr>
      </w:pPr>
      <w:r w:rsidRPr="006E2754">
        <w:rPr>
          <w:rFonts w:ascii="Bahnschrift" w:hAnsi="Bahnschrift"/>
          <w:b/>
          <w:bCs/>
          <w:color w:val="000000"/>
          <w:sz w:val="52"/>
          <w:szCs w:val="52"/>
        </w:rPr>
        <w:t>Post-Secondary Pathways</w:t>
      </w:r>
    </w:p>
    <w:p w14:paraId="452E66DA" w14:textId="77777777" w:rsidR="00F10953" w:rsidRDefault="00F10953" w:rsidP="00911F7F">
      <w:pPr>
        <w:ind w:hanging="720"/>
      </w:pPr>
    </w:p>
    <w:p w14:paraId="37F8BAE6" w14:textId="4BE6F8FC" w:rsidR="00911F7F" w:rsidRDefault="00823116" w:rsidP="00FC1A6F">
      <w:pPr>
        <w:ind w:hanging="720"/>
        <w:jc w:val="center"/>
      </w:pPr>
      <w:r>
        <w:rPr>
          <w:noProof/>
        </w:rPr>
        <w:lastRenderedPageBreak/>
        <w:drawing>
          <wp:inline distT="0" distB="0" distL="0" distR="0" wp14:anchorId="0E8BCA81" wp14:editId="23E474E8">
            <wp:extent cx="1485900" cy="955221"/>
            <wp:effectExtent l="0" t="0" r="0" b="0"/>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lip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92032" cy="959163"/>
                    </a:xfrm>
                    <a:prstGeom prst="rect">
                      <a:avLst/>
                    </a:prstGeom>
                  </pic:spPr>
                </pic:pic>
              </a:graphicData>
            </a:graphic>
          </wp:inline>
        </w:drawing>
      </w:r>
    </w:p>
    <w:sectPr w:rsidR="00911F7F" w:rsidSect="00911F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venir Next LT Pro Demi">
    <w:altName w:val="Arial"/>
    <w:charset w:val="00"/>
    <w:family w:val="swiss"/>
    <w:pitch w:val="variable"/>
    <w:sig w:usb0="00000001"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934"/>
    <w:multiLevelType w:val="hybridMultilevel"/>
    <w:tmpl w:val="B62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D2028"/>
    <w:multiLevelType w:val="hybridMultilevel"/>
    <w:tmpl w:val="A1AC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2286C"/>
    <w:multiLevelType w:val="hybridMultilevel"/>
    <w:tmpl w:val="D1BA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2577A"/>
    <w:multiLevelType w:val="multilevel"/>
    <w:tmpl w:val="6304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A54390"/>
    <w:multiLevelType w:val="hybridMultilevel"/>
    <w:tmpl w:val="4CB6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D1931"/>
    <w:multiLevelType w:val="multilevel"/>
    <w:tmpl w:val="6318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2C"/>
    <w:rsid w:val="000C7296"/>
    <w:rsid w:val="001B3177"/>
    <w:rsid w:val="003A3033"/>
    <w:rsid w:val="006E2754"/>
    <w:rsid w:val="00705489"/>
    <w:rsid w:val="00823116"/>
    <w:rsid w:val="00911F7F"/>
    <w:rsid w:val="00A3672C"/>
    <w:rsid w:val="00B063AB"/>
    <w:rsid w:val="00B73B36"/>
    <w:rsid w:val="00DF0B1B"/>
    <w:rsid w:val="00EC10EA"/>
    <w:rsid w:val="00F04C8C"/>
    <w:rsid w:val="00F10953"/>
    <w:rsid w:val="00FC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DE1C"/>
  <w15:docId w15:val="{C7A2054E-C930-4F4A-B235-1F1DB871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72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1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14420">
      <w:bodyDiv w:val="1"/>
      <w:marLeft w:val="0"/>
      <w:marRight w:val="0"/>
      <w:marTop w:val="0"/>
      <w:marBottom w:val="0"/>
      <w:divBdr>
        <w:top w:val="none" w:sz="0" w:space="0" w:color="auto"/>
        <w:left w:val="none" w:sz="0" w:space="0" w:color="auto"/>
        <w:bottom w:val="none" w:sz="0" w:space="0" w:color="auto"/>
        <w:right w:val="none" w:sz="0" w:space="0" w:color="auto"/>
      </w:divBdr>
      <w:divsChild>
        <w:div w:id="1936092989">
          <w:marLeft w:val="0"/>
          <w:marRight w:val="0"/>
          <w:marTop w:val="0"/>
          <w:marBottom w:val="0"/>
          <w:divBdr>
            <w:top w:val="none" w:sz="0" w:space="0" w:color="auto"/>
            <w:left w:val="none" w:sz="0" w:space="0" w:color="auto"/>
            <w:bottom w:val="none" w:sz="0" w:space="0" w:color="auto"/>
            <w:right w:val="none" w:sz="0" w:space="0" w:color="auto"/>
          </w:divBdr>
        </w:div>
      </w:divsChild>
    </w:div>
    <w:div w:id="961231623">
      <w:bodyDiv w:val="1"/>
      <w:marLeft w:val="0"/>
      <w:marRight w:val="0"/>
      <w:marTop w:val="0"/>
      <w:marBottom w:val="0"/>
      <w:divBdr>
        <w:top w:val="none" w:sz="0" w:space="0" w:color="auto"/>
        <w:left w:val="none" w:sz="0" w:space="0" w:color="auto"/>
        <w:bottom w:val="none" w:sz="0" w:space="0" w:color="auto"/>
        <w:right w:val="none" w:sz="0" w:space="0" w:color="auto"/>
      </w:divBdr>
      <w:divsChild>
        <w:div w:id="376052839">
          <w:marLeft w:val="0"/>
          <w:marRight w:val="0"/>
          <w:marTop w:val="0"/>
          <w:marBottom w:val="0"/>
          <w:divBdr>
            <w:top w:val="none" w:sz="0" w:space="0" w:color="auto"/>
            <w:left w:val="none" w:sz="0" w:space="0" w:color="auto"/>
            <w:bottom w:val="none" w:sz="0" w:space="0" w:color="auto"/>
            <w:right w:val="none" w:sz="0" w:space="0" w:color="auto"/>
          </w:divBdr>
        </w:div>
      </w:divsChild>
    </w:div>
    <w:div w:id="1355421065">
      <w:bodyDiv w:val="1"/>
      <w:marLeft w:val="0"/>
      <w:marRight w:val="0"/>
      <w:marTop w:val="0"/>
      <w:marBottom w:val="0"/>
      <w:divBdr>
        <w:top w:val="none" w:sz="0" w:space="0" w:color="auto"/>
        <w:left w:val="none" w:sz="0" w:space="0" w:color="auto"/>
        <w:bottom w:val="none" w:sz="0" w:space="0" w:color="auto"/>
        <w:right w:val="none" w:sz="0" w:space="0" w:color="auto"/>
      </w:divBdr>
      <w:divsChild>
        <w:div w:id="91558969">
          <w:marLeft w:val="0"/>
          <w:marRight w:val="0"/>
          <w:marTop w:val="0"/>
          <w:marBottom w:val="0"/>
          <w:divBdr>
            <w:top w:val="none" w:sz="0" w:space="0" w:color="auto"/>
            <w:left w:val="none" w:sz="0" w:space="0" w:color="auto"/>
            <w:bottom w:val="none" w:sz="0" w:space="0" w:color="auto"/>
            <w:right w:val="none" w:sz="0" w:space="0" w:color="auto"/>
          </w:divBdr>
        </w:div>
      </w:divsChild>
    </w:div>
    <w:div w:id="1485775680">
      <w:bodyDiv w:val="1"/>
      <w:marLeft w:val="0"/>
      <w:marRight w:val="0"/>
      <w:marTop w:val="0"/>
      <w:marBottom w:val="0"/>
      <w:divBdr>
        <w:top w:val="none" w:sz="0" w:space="0" w:color="auto"/>
        <w:left w:val="none" w:sz="0" w:space="0" w:color="auto"/>
        <w:bottom w:val="none" w:sz="0" w:space="0" w:color="auto"/>
        <w:right w:val="none" w:sz="0" w:space="0" w:color="auto"/>
      </w:divBdr>
      <w:divsChild>
        <w:div w:id="81296518">
          <w:marLeft w:val="0"/>
          <w:marRight w:val="0"/>
          <w:marTop w:val="0"/>
          <w:marBottom w:val="0"/>
          <w:divBdr>
            <w:top w:val="none" w:sz="0" w:space="0" w:color="auto"/>
            <w:left w:val="none" w:sz="0" w:space="0" w:color="auto"/>
            <w:bottom w:val="none" w:sz="0" w:space="0" w:color="auto"/>
            <w:right w:val="none" w:sz="0" w:space="0" w:color="auto"/>
          </w:divBdr>
        </w:div>
      </w:divsChild>
    </w:div>
    <w:div w:id="1548099902">
      <w:bodyDiv w:val="1"/>
      <w:marLeft w:val="0"/>
      <w:marRight w:val="0"/>
      <w:marTop w:val="0"/>
      <w:marBottom w:val="0"/>
      <w:divBdr>
        <w:top w:val="none" w:sz="0" w:space="0" w:color="auto"/>
        <w:left w:val="none" w:sz="0" w:space="0" w:color="auto"/>
        <w:bottom w:val="none" w:sz="0" w:space="0" w:color="auto"/>
        <w:right w:val="none" w:sz="0" w:space="0" w:color="auto"/>
      </w:divBdr>
      <w:divsChild>
        <w:div w:id="2100321732">
          <w:marLeft w:val="0"/>
          <w:marRight w:val="0"/>
          <w:marTop w:val="0"/>
          <w:marBottom w:val="0"/>
          <w:divBdr>
            <w:top w:val="none" w:sz="0" w:space="0" w:color="auto"/>
            <w:left w:val="none" w:sz="0" w:space="0" w:color="auto"/>
            <w:bottom w:val="none" w:sz="0" w:space="0" w:color="auto"/>
            <w:right w:val="none" w:sz="0" w:space="0" w:color="auto"/>
          </w:divBdr>
        </w:div>
      </w:divsChild>
    </w:div>
    <w:div w:id="1632637283">
      <w:bodyDiv w:val="1"/>
      <w:marLeft w:val="0"/>
      <w:marRight w:val="0"/>
      <w:marTop w:val="0"/>
      <w:marBottom w:val="0"/>
      <w:divBdr>
        <w:top w:val="none" w:sz="0" w:space="0" w:color="auto"/>
        <w:left w:val="none" w:sz="0" w:space="0" w:color="auto"/>
        <w:bottom w:val="none" w:sz="0" w:space="0" w:color="auto"/>
        <w:right w:val="none" w:sz="0" w:space="0" w:color="auto"/>
      </w:divBdr>
      <w:divsChild>
        <w:div w:id="1120538494">
          <w:marLeft w:val="0"/>
          <w:marRight w:val="0"/>
          <w:marTop w:val="0"/>
          <w:marBottom w:val="0"/>
          <w:divBdr>
            <w:top w:val="none" w:sz="0" w:space="0" w:color="auto"/>
            <w:left w:val="none" w:sz="0" w:space="0" w:color="auto"/>
            <w:bottom w:val="none" w:sz="0" w:space="0" w:color="auto"/>
            <w:right w:val="none" w:sz="0" w:space="0" w:color="auto"/>
          </w:divBdr>
        </w:div>
      </w:divsChild>
    </w:div>
    <w:div w:id="1661735395">
      <w:bodyDiv w:val="1"/>
      <w:marLeft w:val="0"/>
      <w:marRight w:val="0"/>
      <w:marTop w:val="0"/>
      <w:marBottom w:val="0"/>
      <w:divBdr>
        <w:top w:val="none" w:sz="0" w:space="0" w:color="auto"/>
        <w:left w:val="none" w:sz="0" w:space="0" w:color="auto"/>
        <w:bottom w:val="none" w:sz="0" w:space="0" w:color="auto"/>
        <w:right w:val="none" w:sz="0" w:space="0" w:color="auto"/>
      </w:divBdr>
      <w:divsChild>
        <w:div w:id="584612235">
          <w:marLeft w:val="0"/>
          <w:marRight w:val="0"/>
          <w:marTop w:val="0"/>
          <w:marBottom w:val="0"/>
          <w:divBdr>
            <w:top w:val="none" w:sz="0" w:space="0" w:color="auto"/>
            <w:left w:val="none" w:sz="0" w:space="0" w:color="auto"/>
            <w:bottom w:val="none" w:sz="0" w:space="0" w:color="auto"/>
            <w:right w:val="none" w:sz="0" w:space="0" w:color="auto"/>
          </w:divBdr>
        </w:div>
      </w:divsChild>
    </w:div>
    <w:div w:id="1895039867">
      <w:bodyDiv w:val="1"/>
      <w:marLeft w:val="0"/>
      <w:marRight w:val="0"/>
      <w:marTop w:val="0"/>
      <w:marBottom w:val="0"/>
      <w:divBdr>
        <w:top w:val="none" w:sz="0" w:space="0" w:color="auto"/>
        <w:left w:val="none" w:sz="0" w:space="0" w:color="auto"/>
        <w:bottom w:val="none" w:sz="0" w:space="0" w:color="auto"/>
        <w:right w:val="none" w:sz="0" w:space="0" w:color="auto"/>
      </w:divBdr>
      <w:divsChild>
        <w:div w:id="1135953704">
          <w:marLeft w:val="0"/>
          <w:marRight w:val="0"/>
          <w:marTop w:val="0"/>
          <w:marBottom w:val="0"/>
          <w:divBdr>
            <w:top w:val="none" w:sz="0" w:space="0" w:color="auto"/>
            <w:left w:val="none" w:sz="0" w:space="0" w:color="auto"/>
            <w:bottom w:val="none" w:sz="0" w:space="0" w:color="auto"/>
            <w:right w:val="none" w:sz="0" w:space="0" w:color="auto"/>
          </w:divBdr>
        </w:div>
      </w:divsChild>
    </w:div>
    <w:div w:id="2062441135">
      <w:bodyDiv w:val="1"/>
      <w:marLeft w:val="0"/>
      <w:marRight w:val="0"/>
      <w:marTop w:val="0"/>
      <w:marBottom w:val="0"/>
      <w:divBdr>
        <w:top w:val="none" w:sz="0" w:space="0" w:color="auto"/>
        <w:left w:val="none" w:sz="0" w:space="0" w:color="auto"/>
        <w:bottom w:val="none" w:sz="0" w:space="0" w:color="auto"/>
        <w:right w:val="none" w:sz="0" w:space="0" w:color="auto"/>
      </w:divBdr>
      <w:divsChild>
        <w:div w:id="1289625579">
          <w:marLeft w:val="0"/>
          <w:marRight w:val="0"/>
          <w:marTop w:val="0"/>
          <w:marBottom w:val="0"/>
          <w:divBdr>
            <w:top w:val="none" w:sz="0" w:space="0" w:color="auto"/>
            <w:left w:val="none" w:sz="0" w:space="0" w:color="auto"/>
            <w:bottom w:val="none" w:sz="0" w:space="0" w:color="auto"/>
            <w:right w:val="none" w:sz="0" w:space="0" w:color="auto"/>
          </w:divBdr>
        </w:div>
      </w:divsChild>
    </w:div>
    <w:div w:id="2077585763">
      <w:bodyDiv w:val="1"/>
      <w:marLeft w:val="0"/>
      <w:marRight w:val="0"/>
      <w:marTop w:val="0"/>
      <w:marBottom w:val="0"/>
      <w:divBdr>
        <w:top w:val="none" w:sz="0" w:space="0" w:color="auto"/>
        <w:left w:val="none" w:sz="0" w:space="0" w:color="auto"/>
        <w:bottom w:val="none" w:sz="0" w:space="0" w:color="auto"/>
        <w:right w:val="none" w:sz="0" w:space="0" w:color="auto"/>
      </w:divBdr>
      <w:divsChild>
        <w:div w:id="752238886">
          <w:marLeft w:val="0"/>
          <w:marRight w:val="0"/>
          <w:marTop w:val="0"/>
          <w:marBottom w:val="0"/>
          <w:divBdr>
            <w:top w:val="none" w:sz="0" w:space="0" w:color="auto"/>
            <w:left w:val="none" w:sz="0" w:space="0" w:color="auto"/>
            <w:bottom w:val="none" w:sz="0" w:space="0" w:color="auto"/>
            <w:right w:val="none" w:sz="0" w:space="0" w:color="auto"/>
          </w:divBdr>
        </w:div>
      </w:divsChild>
    </w:div>
    <w:div w:id="2142184894">
      <w:bodyDiv w:val="1"/>
      <w:marLeft w:val="0"/>
      <w:marRight w:val="0"/>
      <w:marTop w:val="0"/>
      <w:marBottom w:val="0"/>
      <w:divBdr>
        <w:top w:val="none" w:sz="0" w:space="0" w:color="auto"/>
        <w:left w:val="none" w:sz="0" w:space="0" w:color="auto"/>
        <w:bottom w:val="none" w:sz="0" w:space="0" w:color="auto"/>
        <w:right w:val="none" w:sz="0" w:space="0" w:color="auto"/>
      </w:divBdr>
      <w:divsChild>
        <w:div w:id="19297773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598054-bbf4-4384-a0a5-ba946eb037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BD5621F6F71C4C98D766DEFB61BBF0" ma:contentTypeVersion="16" ma:contentTypeDescription="Create a new document." ma:contentTypeScope="" ma:versionID="b00abee1b6223ebc04f4094a65432e91">
  <xsd:schema xmlns:xsd="http://www.w3.org/2001/XMLSchema" xmlns:xs="http://www.w3.org/2001/XMLSchema" xmlns:p="http://schemas.microsoft.com/office/2006/metadata/properties" xmlns:ns3="14598054-bbf4-4384-a0a5-ba946eb03717" xmlns:ns4="fc6c62cb-2c53-4499-b18a-a84a745575a0" targetNamespace="http://schemas.microsoft.com/office/2006/metadata/properties" ma:root="true" ma:fieldsID="2a836ade013dbf39aceadfa9e1798f05" ns3:_="" ns4:_="">
    <xsd:import namespace="14598054-bbf4-4384-a0a5-ba946eb03717"/>
    <xsd:import namespace="fc6c62cb-2c53-4499-b18a-a84a745575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98054-bbf4-4384-a0a5-ba946eb03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c62cb-2c53-4499-b18a-a84a745575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1A9E-7EA2-43E1-A0DE-38C977FB9956}">
  <ds:schemaRefs>
    <ds:schemaRef ds:uri="http://schemas.microsoft.com/office/infopath/2007/PartnerControls"/>
    <ds:schemaRef ds:uri="http://purl.org/dc/terms/"/>
    <ds:schemaRef ds:uri="fc6c62cb-2c53-4499-b18a-a84a745575a0"/>
    <ds:schemaRef ds:uri="http://schemas.microsoft.com/office/2006/documentManagement/types"/>
    <ds:schemaRef ds:uri="http://schemas.openxmlformats.org/package/2006/metadata/core-properties"/>
    <ds:schemaRef ds:uri="14598054-bbf4-4384-a0a5-ba946eb0371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DF784FF-7C3D-4FC8-B98D-4FE6B54746E2}">
  <ds:schemaRefs>
    <ds:schemaRef ds:uri="http://schemas.microsoft.com/sharepoint/v3/contenttype/forms"/>
  </ds:schemaRefs>
</ds:datastoreItem>
</file>

<file path=customXml/itemProps3.xml><?xml version="1.0" encoding="utf-8"?>
<ds:datastoreItem xmlns:ds="http://schemas.openxmlformats.org/officeDocument/2006/customXml" ds:itemID="{A1A6D588-0C6B-46A7-8758-C8C768D59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98054-bbf4-4384-a0a5-ba946eb03717"/>
    <ds:schemaRef ds:uri="fc6c62cb-2c53-4499-b18a-a84a74557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72EED-45F2-4BD2-8A28-29824549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Papczynski.Peter@Space Coast Jr Sr High</dc:creator>
  <cp:keywords/>
  <dc:description/>
  <cp:lastModifiedBy>Shear.Kayli@Space Coast Jr Sr High</cp:lastModifiedBy>
  <cp:revision>2</cp:revision>
  <cp:lastPrinted>2023-01-10T14:24:00Z</cp:lastPrinted>
  <dcterms:created xsi:type="dcterms:W3CDTF">2023-09-12T22:00:00Z</dcterms:created>
  <dcterms:modified xsi:type="dcterms:W3CDTF">2023-09-12T22:00:00Z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0x010100B7BD5621F6F71C4C98D766DEFB61BBF0</vt:lpwstr>
  </property>
</Properties>
</file>